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15735" w:type="dxa"/>
        <w:tblInd w:w="-1139" w:type="dxa"/>
        <w:tblLayout w:type="fixed"/>
        <w:tblLook w:val="04A0" w:firstRow="1" w:lastRow="0" w:firstColumn="1" w:lastColumn="0" w:noHBand="0" w:noVBand="1"/>
      </w:tblPr>
      <w:tblGrid>
        <w:gridCol w:w="567"/>
        <w:gridCol w:w="1418"/>
        <w:gridCol w:w="1559"/>
        <w:gridCol w:w="4536"/>
        <w:gridCol w:w="3402"/>
        <w:gridCol w:w="4253"/>
      </w:tblGrid>
      <w:tr w:rsidR="00065D86" w:rsidRPr="003318FC" w14:paraId="21D5765A" w14:textId="4F4E95CD" w:rsidTr="003318FC">
        <w:trPr>
          <w:trHeight w:val="592"/>
        </w:trPr>
        <w:tc>
          <w:tcPr>
            <w:tcW w:w="15735" w:type="dxa"/>
            <w:gridSpan w:val="6"/>
          </w:tcPr>
          <w:p w14:paraId="14D5CBE4" w14:textId="7E17DFAD" w:rsidR="002267FF" w:rsidRPr="003318FC" w:rsidRDefault="002267FF" w:rsidP="003318FC">
            <w:pPr>
              <w:spacing w:after="0" w:line="240" w:lineRule="auto"/>
              <w:jc w:val="center"/>
              <w:rPr>
                <w:rFonts w:ascii="Lato" w:hAnsi="Lato" w:cs="Times New Roman"/>
                <w:b/>
                <w:sz w:val="20"/>
                <w:szCs w:val="20"/>
                <w:lang w:eastAsia="pl-PL"/>
              </w:rPr>
            </w:pPr>
            <w:r w:rsidRPr="003318FC">
              <w:rPr>
                <w:rFonts w:ascii="Lato" w:hAnsi="Lato" w:cs="Times New Roman"/>
                <w:b/>
                <w:sz w:val="20"/>
                <w:szCs w:val="20"/>
                <w:lang w:eastAsia="pl-PL"/>
              </w:rPr>
              <w:t xml:space="preserve">Uwagi do projektu </w:t>
            </w:r>
            <w:r w:rsidRPr="003318FC">
              <w:rPr>
                <w:rFonts w:ascii="Lato" w:hAnsi="Lato" w:cs="Times New Roman"/>
                <w:b/>
                <w:sz w:val="20"/>
                <w:szCs w:val="20"/>
              </w:rPr>
              <w:t xml:space="preserve">ustawy o zmianie ustawy </w:t>
            </w:r>
            <w:r w:rsidR="00037B70" w:rsidRPr="003318FC">
              <w:rPr>
                <w:rFonts w:ascii="Lato" w:hAnsi="Lato" w:cs="Times New Roman"/>
                <w:b/>
                <w:sz w:val="20"/>
                <w:szCs w:val="20"/>
              </w:rPr>
              <w:t xml:space="preserve">o systemie ubezpieczeń społecznych </w:t>
            </w:r>
            <w:r w:rsidRPr="003318FC">
              <w:rPr>
                <w:rFonts w:ascii="Lato" w:hAnsi="Lato" w:cs="Times New Roman"/>
                <w:b/>
                <w:sz w:val="20"/>
                <w:szCs w:val="20"/>
              </w:rPr>
              <w:t>oraz niektórych innych ustaw</w:t>
            </w:r>
            <w:r w:rsidR="00E06858" w:rsidRPr="003318FC">
              <w:rPr>
                <w:rFonts w:ascii="Lato" w:hAnsi="Lato" w:cs="Times New Roman"/>
                <w:b/>
                <w:sz w:val="20"/>
                <w:szCs w:val="20"/>
              </w:rPr>
              <w:t xml:space="preserve"> UD114</w:t>
            </w:r>
          </w:p>
        </w:tc>
      </w:tr>
      <w:tr w:rsidR="00065D86" w:rsidRPr="003318FC" w14:paraId="414B1470" w14:textId="68FBAB50" w:rsidTr="003318FC">
        <w:trPr>
          <w:trHeight w:val="1950"/>
        </w:trPr>
        <w:tc>
          <w:tcPr>
            <w:tcW w:w="567" w:type="dxa"/>
            <w:vAlign w:val="center"/>
          </w:tcPr>
          <w:p w14:paraId="152A2D0B" w14:textId="77777777" w:rsidR="002267FF" w:rsidRPr="003318FC" w:rsidRDefault="002267FF" w:rsidP="003318FC">
            <w:pPr>
              <w:spacing w:after="0" w:line="240" w:lineRule="auto"/>
              <w:jc w:val="both"/>
              <w:rPr>
                <w:rFonts w:ascii="Lato" w:hAnsi="Lato" w:cs="Times New Roman"/>
                <w:sz w:val="20"/>
                <w:szCs w:val="20"/>
              </w:rPr>
            </w:pPr>
            <w:r w:rsidRPr="003318FC">
              <w:rPr>
                <w:rFonts w:ascii="Lato" w:hAnsi="Lato" w:cs="Times New Roman"/>
                <w:b/>
                <w:sz w:val="20"/>
                <w:szCs w:val="20"/>
              </w:rPr>
              <w:t>Lp</w:t>
            </w:r>
            <w:r w:rsidRPr="003318FC">
              <w:rPr>
                <w:rFonts w:ascii="Lato" w:hAnsi="Lato" w:cs="Times New Roman"/>
                <w:sz w:val="20"/>
                <w:szCs w:val="20"/>
              </w:rPr>
              <w:t>.</w:t>
            </w:r>
          </w:p>
        </w:tc>
        <w:tc>
          <w:tcPr>
            <w:tcW w:w="1418" w:type="dxa"/>
            <w:vAlign w:val="center"/>
          </w:tcPr>
          <w:p w14:paraId="0E0ECA61" w14:textId="77777777" w:rsidR="002267FF" w:rsidRPr="003318FC" w:rsidRDefault="002267FF" w:rsidP="003318FC">
            <w:pPr>
              <w:spacing w:after="0" w:line="240" w:lineRule="auto"/>
              <w:ind w:right="-101"/>
              <w:jc w:val="both"/>
              <w:rPr>
                <w:rFonts w:ascii="Lato" w:hAnsi="Lato" w:cs="Times New Roman"/>
                <w:b/>
                <w:bCs/>
                <w:sz w:val="20"/>
                <w:szCs w:val="20"/>
              </w:rPr>
            </w:pPr>
            <w:r w:rsidRPr="003318FC">
              <w:rPr>
                <w:rFonts w:ascii="Lato" w:hAnsi="Lato" w:cs="Times New Roman"/>
                <w:b/>
                <w:bCs/>
                <w:sz w:val="20"/>
                <w:szCs w:val="20"/>
              </w:rPr>
              <w:t>Jednostka redakcyjna, której uwaga dotyczy/pkt załącznika/</w:t>
            </w:r>
          </w:p>
          <w:p w14:paraId="6876945F" w14:textId="77777777" w:rsidR="002267FF" w:rsidRPr="003318FC" w:rsidRDefault="002267FF" w:rsidP="003318FC">
            <w:pPr>
              <w:spacing w:after="0" w:line="240" w:lineRule="auto"/>
              <w:jc w:val="both"/>
              <w:rPr>
                <w:rFonts w:ascii="Lato" w:hAnsi="Lato" w:cs="Times New Roman"/>
                <w:b/>
                <w:bCs/>
                <w:sz w:val="20"/>
                <w:szCs w:val="20"/>
              </w:rPr>
            </w:pPr>
            <w:r w:rsidRPr="003318FC">
              <w:rPr>
                <w:rFonts w:ascii="Lato" w:hAnsi="Lato" w:cs="Times New Roman"/>
                <w:b/>
                <w:bCs/>
                <w:sz w:val="20"/>
                <w:szCs w:val="20"/>
              </w:rPr>
              <w:t>str. uzasadnienia/</w:t>
            </w:r>
          </w:p>
          <w:p w14:paraId="2826F600" w14:textId="77777777" w:rsidR="002267FF" w:rsidRPr="003318FC" w:rsidRDefault="002267FF" w:rsidP="003318FC">
            <w:pPr>
              <w:spacing w:after="0" w:line="240" w:lineRule="auto"/>
              <w:jc w:val="both"/>
              <w:rPr>
                <w:rFonts w:ascii="Lato" w:hAnsi="Lato" w:cs="Times New Roman"/>
                <w:b/>
                <w:bCs/>
                <w:sz w:val="20"/>
                <w:szCs w:val="20"/>
              </w:rPr>
            </w:pPr>
            <w:r w:rsidRPr="003318FC">
              <w:rPr>
                <w:rFonts w:ascii="Lato" w:hAnsi="Lato" w:cs="Times New Roman"/>
                <w:b/>
                <w:bCs/>
                <w:sz w:val="20"/>
                <w:szCs w:val="20"/>
              </w:rPr>
              <w:t>pkt OSR</w:t>
            </w:r>
          </w:p>
        </w:tc>
        <w:tc>
          <w:tcPr>
            <w:tcW w:w="1559" w:type="dxa"/>
            <w:vAlign w:val="center"/>
          </w:tcPr>
          <w:p w14:paraId="79B830A5" w14:textId="4990C79C" w:rsidR="00815012" w:rsidRPr="003318FC" w:rsidRDefault="002267FF" w:rsidP="003318FC">
            <w:pPr>
              <w:spacing w:after="0" w:line="240" w:lineRule="auto"/>
              <w:jc w:val="both"/>
              <w:rPr>
                <w:rFonts w:ascii="Lato" w:hAnsi="Lato" w:cs="Times New Roman"/>
                <w:b/>
                <w:bCs/>
                <w:sz w:val="20"/>
                <w:szCs w:val="20"/>
              </w:rPr>
            </w:pPr>
            <w:r w:rsidRPr="003318FC">
              <w:rPr>
                <w:rFonts w:ascii="Lato" w:hAnsi="Lato" w:cs="Times New Roman"/>
                <w:b/>
                <w:bCs/>
                <w:sz w:val="20"/>
                <w:szCs w:val="20"/>
              </w:rPr>
              <w:t>Podmiot zgłaszający</w:t>
            </w:r>
          </w:p>
        </w:tc>
        <w:tc>
          <w:tcPr>
            <w:tcW w:w="4536" w:type="dxa"/>
          </w:tcPr>
          <w:p w14:paraId="4015510A" w14:textId="77777777" w:rsidR="0053261E" w:rsidRPr="003318FC" w:rsidRDefault="0053261E" w:rsidP="003318FC">
            <w:pPr>
              <w:spacing w:after="0" w:line="240" w:lineRule="auto"/>
              <w:jc w:val="both"/>
              <w:rPr>
                <w:rFonts w:ascii="Lato" w:hAnsi="Lato" w:cs="Times New Roman"/>
                <w:b/>
                <w:bCs/>
                <w:sz w:val="20"/>
                <w:szCs w:val="20"/>
              </w:rPr>
            </w:pPr>
          </w:p>
          <w:p w14:paraId="0F37090F" w14:textId="77777777" w:rsidR="0053261E" w:rsidRPr="003318FC" w:rsidRDefault="0053261E" w:rsidP="003318FC">
            <w:pPr>
              <w:spacing w:after="0" w:line="240" w:lineRule="auto"/>
              <w:jc w:val="both"/>
              <w:rPr>
                <w:rFonts w:ascii="Lato" w:hAnsi="Lato" w:cs="Times New Roman"/>
                <w:b/>
                <w:bCs/>
                <w:sz w:val="20"/>
                <w:szCs w:val="20"/>
              </w:rPr>
            </w:pPr>
          </w:p>
          <w:p w14:paraId="4C2A905F" w14:textId="51DB411E" w:rsidR="0053261E" w:rsidRPr="003318FC" w:rsidRDefault="0053261E" w:rsidP="003318FC">
            <w:pPr>
              <w:spacing w:after="0" w:line="240" w:lineRule="auto"/>
              <w:jc w:val="center"/>
              <w:rPr>
                <w:rFonts w:ascii="Lato" w:hAnsi="Lato" w:cs="Times New Roman"/>
                <w:b/>
                <w:bCs/>
                <w:sz w:val="20"/>
                <w:szCs w:val="20"/>
              </w:rPr>
            </w:pPr>
            <w:r w:rsidRPr="003318FC">
              <w:rPr>
                <w:rFonts w:ascii="Lato" w:hAnsi="Lato" w:cs="Times New Roman"/>
                <w:b/>
                <w:bCs/>
                <w:sz w:val="20"/>
                <w:szCs w:val="20"/>
              </w:rPr>
              <w:t>Uwaga</w:t>
            </w:r>
          </w:p>
          <w:p w14:paraId="0002F714" w14:textId="2AC6247A" w:rsidR="002267FF" w:rsidRPr="003318FC" w:rsidRDefault="002267FF" w:rsidP="003318FC">
            <w:pPr>
              <w:spacing w:after="0" w:line="240" w:lineRule="auto"/>
              <w:jc w:val="both"/>
              <w:rPr>
                <w:rFonts w:ascii="Lato" w:hAnsi="Lato" w:cs="Times New Roman"/>
                <w:b/>
                <w:bCs/>
                <w:sz w:val="20"/>
                <w:szCs w:val="20"/>
              </w:rPr>
            </w:pPr>
          </w:p>
        </w:tc>
        <w:tc>
          <w:tcPr>
            <w:tcW w:w="3402" w:type="dxa"/>
            <w:vAlign w:val="center"/>
          </w:tcPr>
          <w:p w14:paraId="0CCD7696" w14:textId="77777777" w:rsidR="002267FF" w:rsidRPr="003318FC" w:rsidRDefault="002267FF" w:rsidP="003318FC">
            <w:pPr>
              <w:spacing w:after="0" w:line="240" w:lineRule="auto"/>
              <w:jc w:val="center"/>
              <w:rPr>
                <w:rFonts w:ascii="Lato" w:hAnsi="Lato" w:cs="Times New Roman"/>
                <w:sz w:val="20"/>
                <w:szCs w:val="20"/>
              </w:rPr>
            </w:pPr>
            <w:r w:rsidRPr="003318FC">
              <w:rPr>
                <w:rFonts w:ascii="Lato" w:hAnsi="Lato" w:cs="Times New Roman"/>
                <w:b/>
                <w:bCs/>
                <w:sz w:val="20"/>
                <w:szCs w:val="20"/>
              </w:rPr>
              <w:t>Propozycja zmiany przepisu</w:t>
            </w:r>
          </w:p>
        </w:tc>
        <w:tc>
          <w:tcPr>
            <w:tcW w:w="4253" w:type="dxa"/>
          </w:tcPr>
          <w:p w14:paraId="15235AF4" w14:textId="75B82A7C" w:rsidR="002267FF" w:rsidRPr="003318FC" w:rsidRDefault="002267FF" w:rsidP="003318FC">
            <w:pPr>
              <w:spacing w:after="0" w:line="240" w:lineRule="auto"/>
              <w:jc w:val="both"/>
              <w:rPr>
                <w:rFonts w:ascii="Lato" w:hAnsi="Lato" w:cs="Times New Roman"/>
                <w:b/>
                <w:bCs/>
                <w:sz w:val="20"/>
                <w:szCs w:val="20"/>
              </w:rPr>
            </w:pPr>
          </w:p>
          <w:p w14:paraId="40D5E219" w14:textId="77777777" w:rsidR="002267FF" w:rsidRPr="003318FC" w:rsidRDefault="002267FF" w:rsidP="003318FC">
            <w:pPr>
              <w:spacing w:after="0" w:line="240" w:lineRule="auto"/>
              <w:jc w:val="both"/>
              <w:rPr>
                <w:rFonts w:ascii="Lato" w:hAnsi="Lato" w:cs="Times New Roman"/>
                <w:b/>
                <w:bCs/>
                <w:sz w:val="20"/>
                <w:szCs w:val="20"/>
              </w:rPr>
            </w:pPr>
          </w:p>
          <w:p w14:paraId="19E812D4" w14:textId="4B2E0DD8" w:rsidR="002267FF" w:rsidRPr="003318FC" w:rsidRDefault="002267FF" w:rsidP="003318FC">
            <w:pPr>
              <w:spacing w:after="0" w:line="240" w:lineRule="auto"/>
              <w:jc w:val="center"/>
              <w:rPr>
                <w:rFonts w:ascii="Lato" w:hAnsi="Lato" w:cs="Times New Roman"/>
                <w:b/>
                <w:bCs/>
                <w:sz w:val="20"/>
                <w:szCs w:val="20"/>
              </w:rPr>
            </w:pPr>
            <w:r w:rsidRPr="003318FC">
              <w:rPr>
                <w:rFonts w:ascii="Lato" w:hAnsi="Lato" w:cs="Times New Roman"/>
                <w:b/>
                <w:bCs/>
                <w:sz w:val="20"/>
                <w:szCs w:val="20"/>
              </w:rPr>
              <w:t xml:space="preserve">Stanowisko </w:t>
            </w:r>
            <w:proofErr w:type="spellStart"/>
            <w:r w:rsidRPr="003318FC">
              <w:rPr>
                <w:rFonts w:ascii="Lato" w:hAnsi="Lato" w:cs="Times New Roman"/>
                <w:b/>
                <w:bCs/>
                <w:sz w:val="20"/>
                <w:szCs w:val="20"/>
              </w:rPr>
              <w:t>MRPiPS</w:t>
            </w:r>
            <w:proofErr w:type="spellEnd"/>
          </w:p>
        </w:tc>
      </w:tr>
      <w:tr w:rsidR="00C329D1" w:rsidRPr="000212FA" w14:paraId="40B89CFC" w14:textId="77777777" w:rsidTr="003318FC">
        <w:tc>
          <w:tcPr>
            <w:tcW w:w="567" w:type="dxa"/>
          </w:tcPr>
          <w:p w14:paraId="2952B82D" w14:textId="77777777" w:rsidR="00C329D1" w:rsidRPr="000212FA" w:rsidRDefault="00C329D1" w:rsidP="003318FC">
            <w:pPr>
              <w:pStyle w:val="Akapitzlist"/>
              <w:numPr>
                <w:ilvl w:val="0"/>
                <w:numId w:val="1"/>
              </w:numPr>
              <w:spacing w:after="0" w:line="240" w:lineRule="auto"/>
              <w:ind w:left="0" w:firstLine="0"/>
              <w:jc w:val="both"/>
              <w:rPr>
                <w:rFonts w:ascii="Times New Roman" w:hAnsi="Times New Roman" w:cs="Times New Roman"/>
                <w:b/>
              </w:rPr>
            </w:pPr>
          </w:p>
        </w:tc>
        <w:tc>
          <w:tcPr>
            <w:tcW w:w="1418" w:type="dxa"/>
            <w:vAlign w:val="center"/>
          </w:tcPr>
          <w:p w14:paraId="65706B8A" w14:textId="59BDC861" w:rsidR="00C329D1" w:rsidRPr="000212FA" w:rsidRDefault="00C329D1" w:rsidP="003318FC">
            <w:pPr>
              <w:spacing w:after="0" w:line="240" w:lineRule="auto"/>
              <w:jc w:val="both"/>
              <w:rPr>
                <w:rFonts w:ascii="Times New Roman" w:hAnsi="Times New Roman" w:cs="Times New Roman"/>
              </w:rPr>
            </w:pPr>
            <w:r w:rsidRPr="000212FA">
              <w:rPr>
                <w:rFonts w:ascii="Times New Roman" w:hAnsi="Times New Roman" w:cs="Times New Roman"/>
              </w:rPr>
              <w:t xml:space="preserve">Uwaga ogólna </w:t>
            </w:r>
          </w:p>
        </w:tc>
        <w:tc>
          <w:tcPr>
            <w:tcW w:w="1559" w:type="dxa"/>
            <w:vAlign w:val="center"/>
          </w:tcPr>
          <w:p w14:paraId="3A235B8B" w14:textId="77777777" w:rsidR="00C329D1" w:rsidRPr="000212FA" w:rsidRDefault="00C329D1" w:rsidP="003318FC">
            <w:pPr>
              <w:spacing w:after="0" w:line="240" w:lineRule="auto"/>
              <w:jc w:val="both"/>
              <w:rPr>
                <w:rFonts w:ascii="Times New Roman" w:hAnsi="Times New Roman" w:cs="Times New Roman"/>
              </w:rPr>
            </w:pPr>
          </w:p>
          <w:p w14:paraId="1849DE61" w14:textId="77777777" w:rsidR="00C329D1" w:rsidRPr="000212FA" w:rsidRDefault="00C329D1" w:rsidP="003318FC">
            <w:pPr>
              <w:spacing w:line="240" w:lineRule="auto"/>
              <w:jc w:val="both"/>
              <w:rPr>
                <w:rFonts w:ascii="Times New Roman" w:hAnsi="Times New Roman" w:cs="Times New Roman"/>
              </w:rPr>
            </w:pPr>
          </w:p>
          <w:p w14:paraId="3B955B42" w14:textId="77777777" w:rsidR="00C329D1" w:rsidRPr="000212FA" w:rsidRDefault="00C329D1" w:rsidP="003318FC">
            <w:pPr>
              <w:spacing w:line="240" w:lineRule="auto"/>
              <w:jc w:val="both"/>
              <w:rPr>
                <w:rFonts w:ascii="Times New Roman" w:hAnsi="Times New Roman" w:cs="Times New Roman"/>
              </w:rPr>
            </w:pPr>
          </w:p>
          <w:p w14:paraId="41721C4F" w14:textId="77777777" w:rsidR="00C329D1" w:rsidRPr="000212FA" w:rsidRDefault="00C329D1" w:rsidP="003318FC">
            <w:pPr>
              <w:spacing w:line="240" w:lineRule="auto"/>
              <w:jc w:val="both"/>
              <w:rPr>
                <w:rFonts w:ascii="Times New Roman" w:hAnsi="Times New Roman" w:cs="Times New Roman"/>
              </w:rPr>
            </w:pPr>
          </w:p>
          <w:p w14:paraId="24DA7B21" w14:textId="218BF6AC" w:rsidR="00C329D1" w:rsidRPr="000212FA" w:rsidRDefault="00C329D1" w:rsidP="003318FC">
            <w:pPr>
              <w:spacing w:line="240" w:lineRule="auto"/>
              <w:jc w:val="both"/>
              <w:rPr>
                <w:rFonts w:ascii="Times New Roman" w:hAnsi="Times New Roman" w:cs="Times New Roman"/>
              </w:rPr>
            </w:pPr>
            <w:r w:rsidRPr="000212FA">
              <w:rPr>
                <w:rFonts w:ascii="Times New Roman" w:hAnsi="Times New Roman" w:cs="Times New Roman"/>
              </w:rPr>
              <w:t>MZ</w:t>
            </w:r>
          </w:p>
        </w:tc>
        <w:tc>
          <w:tcPr>
            <w:tcW w:w="4536" w:type="dxa"/>
          </w:tcPr>
          <w:p w14:paraId="699D1627" w14:textId="77777777" w:rsidR="00C329D1" w:rsidRPr="000212FA" w:rsidRDefault="00C329D1" w:rsidP="003318FC">
            <w:pPr>
              <w:autoSpaceDE w:val="0"/>
              <w:autoSpaceDN w:val="0"/>
              <w:adjustRightInd w:val="0"/>
              <w:spacing w:after="0" w:line="240" w:lineRule="auto"/>
              <w:jc w:val="both"/>
              <w:rPr>
                <w:rFonts w:ascii="Times New Roman" w:hAnsi="Times New Roman" w:cs="Times New Roman"/>
              </w:rPr>
            </w:pPr>
            <w:r w:rsidRPr="000212FA">
              <w:rPr>
                <w:rFonts w:ascii="Times New Roman" w:hAnsi="Times New Roman" w:cs="Times New Roman"/>
              </w:rPr>
              <w:t>W projekcie ustawy w wielu przepisach występuje wyrażenie „specjalista wykonujący samodzielny zawód medyczny”, jednakże projektodawca nie sprecyzował, których to zawodów medycznych dotyczy. Natomiast z uzasadnienia do projektu ustawy wynika, że specjaliści wykonujący samodzielne zawody medyczne będą mogli wydawać orzeczenia w określonych rodzajach spraw – w sprawach o rehabilitację leczniczą w ramach prewencji rentowej w zakresie profilu narządu ruchu oświadczenia mogły być wydawane przez fizjoterapeutów, a w sprawach, w których ustala się niezdolność do samodzielnej egzystencji, przez pielęgniarki i pielęgniarzy. W opinii Ministra Zdrowia, ww. zawody powinny zostać wpisane wprost w część normatywną projektu ustawy (tj. przez wskazanie konkretnych zawodów medycznych).</w:t>
            </w:r>
          </w:p>
          <w:p w14:paraId="0B7CBD6A" w14:textId="77777777" w:rsidR="00075D52" w:rsidRPr="000212FA" w:rsidRDefault="00C329D1" w:rsidP="003318FC">
            <w:pPr>
              <w:autoSpaceDE w:val="0"/>
              <w:autoSpaceDN w:val="0"/>
              <w:adjustRightInd w:val="0"/>
              <w:spacing w:after="0" w:line="240" w:lineRule="auto"/>
              <w:jc w:val="both"/>
              <w:rPr>
                <w:rFonts w:ascii="Times New Roman" w:hAnsi="Times New Roman" w:cs="Times New Roman"/>
              </w:rPr>
            </w:pPr>
            <w:r w:rsidRPr="000212FA">
              <w:rPr>
                <w:rFonts w:ascii="Times New Roman" w:hAnsi="Times New Roman" w:cs="Times New Roman"/>
              </w:rPr>
              <w:t xml:space="preserve">Zaznaczyć bowiem należy, że za samodzielny zawód medyczny oprócz lekarza, lekarza  dentysty, pielęgniarki i fizjoterapeuty należy uznać również zawód: położnej, farmaceuty, diagnosty laboratoryjnego oraz ratownika </w:t>
            </w:r>
            <w:r w:rsidRPr="000212FA">
              <w:rPr>
                <w:rFonts w:ascii="Times New Roman" w:hAnsi="Times New Roman" w:cs="Times New Roman"/>
              </w:rPr>
              <w:lastRenderedPageBreak/>
              <w:t xml:space="preserve">medycznego. Wynika to z faktu, iż każdy z tych zawodów ma odrębne regulacje ustawowe, samorząd oraz odpowiedzialność zawodową. Wobec tego określenie „specjalista wykonujący samodzielny zawód medyczny” jest nieprecyzyjne i będzie powodować wątpliwości interpretacyjne. </w:t>
            </w:r>
          </w:p>
          <w:p w14:paraId="6CB26D56" w14:textId="1B3997AE" w:rsidR="00C329D1" w:rsidRPr="000212FA" w:rsidRDefault="00C329D1" w:rsidP="003318FC">
            <w:pPr>
              <w:autoSpaceDE w:val="0"/>
              <w:autoSpaceDN w:val="0"/>
              <w:adjustRightInd w:val="0"/>
              <w:spacing w:after="0" w:line="240" w:lineRule="auto"/>
              <w:jc w:val="both"/>
              <w:rPr>
                <w:rFonts w:ascii="Times New Roman" w:hAnsi="Times New Roman" w:cs="Times New Roman"/>
              </w:rPr>
            </w:pPr>
            <w:r w:rsidRPr="000212FA">
              <w:rPr>
                <w:rFonts w:ascii="Times New Roman" w:hAnsi="Times New Roman" w:cs="Times New Roman"/>
              </w:rPr>
              <w:t xml:space="preserve">W kontekście tego podkreślenia wymaga również kwestia zapewnienia podstawy prawnej do wykonywania działań przez pielęgniarki i fizjoterapeutów w powyżej opisanym zakresie (tj. wydawania orzeczenia w sprawach o rehabilitację leczniczą w ramach prewencji rentowej w zakresie profilu narządu ruchu oraz w sprawach, w których ustala się niezdolność do samodzielnej egzystencji). Odpowiednia podstawa ustawowa jest konieczna, z uwagi na to, że w ustawach pragmatycznych pielęgniarek oraz fizjoterapeutów określone zostały zakresy wykonywania przez nich zawodu [odpowiednio w art. 4 ustawy z dnia 15 lipca 2011 r. o zawodach pielęgniarki i położnej (Dz. U. z 2024 r. poz. 814, z </w:t>
            </w:r>
            <w:proofErr w:type="spellStart"/>
            <w:r w:rsidRPr="000212FA">
              <w:rPr>
                <w:rFonts w:ascii="Times New Roman" w:hAnsi="Times New Roman" w:cs="Times New Roman"/>
              </w:rPr>
              <w:t>późn</w:t>
            </w:r>
            <w:proofErr w:type="spellEnd"/>
            <w:r w:rsidRPr="000212FA">
              <w:rPr>
                <w:rFonts w:ascii="Times New Roman" w:hAnsi="Times New Roman" w:cs="Times New Roman"/>
              </w:rPr>
              <w:t xml:space="preserve">. zm.) oraz w art. 4 ust. 2 ustawy z dnia 25 września 2015 r. o zawodzie fizjoterapeuty (Dz. U. z 2023 r. poz. 1213, z </w:t>
            </w:r>
            <w:proofErr w:type="spellStart"/>
            <w:r w:rsidRPr="000212FA">
              <w:rPr>
                <w:rFonts w:ascii="Times New Roman" w:hAnsi="Times New Roman" w:cs="Times New Roman"/>
              </w:rPr>
              <w:t>późn</w:t>
            </w:r>
            <w:proofErr w:type="spellEnd"/>
            <w:r w:rsidRPr="000212FA">
              <w:rPr>
                <w:rFonts w:ascii="Times New Roman" w:hAnsi="Times New Roman" w:cs="Times New Roman"/>
              </w:rPr>
              <w:t>. zm.)</w:t>
            </w:r>
            <w:r w:rsidR="001706AD" w:rsidRPr="000212FA">
              <w:rPr>
                <w:rFonts w:ascii="Times New Roman" w:hAnsi="Times New Roman" w:cs="Times New Roman"/>
              </w:rPr>
              <w:t>]</w:t>
            </w:r>
            <w:r w:rsidRPr="000212FA">
              <w:rPr>
                <w:rFonts w:ascii="Times New Roman" w:hAnsi="Times New Roman" w:cs="Times New Roman"/>
              </w:rPr>
              <w:t>.</w:t>
            </w:r>
          </w:p>
        </w:tc>
        <w:tc>
          <w:tcPr>
            <w:tcW w:w="3402" w:type="dxa"/>
            <w:vAlign w:val="center"/>
          </w:tcPr>
          <w:p w14:paraId="14197FF8" w14:textId="77777777" w:rsidR="00C329D1" w:rsidRPr="000212FA" w:rsidRDefault="00C329D1" w:rsidP="003318FC">
            <w:pPr>
              <w:spacing w:after="0" w:line="240" w:lineRule="auto"/>
              <w:jc w:val="both"/>
              <w:rPr>
                <w:rFonts w:ascii="Times New Roman" w:hAnsi="Times New Roman" w:cs="Times New Roman"/>
              </w:rPr>
            </w:pPr>
          </w:p>
        </w:tc>
        <w:tc>
          <w:tcPr>
            <w:tcW w:w="4253" w:type="dxa"/>
          </w:tcPr>
          <w:p w14:paraId="4F27E914" w14:textId="77777777" w:rsidR="0039755A" w:rsidRPr="000212FA" w:rsidRDefault="0039755A" w:rsidP="003318FC">
            <w:pPr>
              <w:spacing w:after="0" w:line="240" w:lineRule="auto"/>
              <w:jc w:val="both"/>
              <w:rPr>
                <w:rFonts w:ascii="Times New Roman" w:hAnsi="Times New Roman" w:cs="Times New Roman"/>
                <w:b/>
                <w:bCs/>
              </w:rPr>
            </w:pPr>
            <w:r w:rsidRPr="000212FA">
              <w:rPr>
                <w:rFonts w:ascii="Times New Roman" w:hAnsi="Times New Roman" w:cs="Times New Roman"/>
                <w:b/>
                <w:bCs/>
              </w:rPr>
              <w:t>Uwaga uwzględniona.</w:t>
            </w:r>
          </w:p>
          <w:p w14:paraId="3F43D965" w14:textId="77777777" w:rsidR="0039755A" w:rsidRPr="000212FA" w:rsidRDefault="0039755A" w:rsidP="003318FC">
            <w:pPr>
              <w:spacing w:after="0" w:line="240" w:lineRule="auto"/>
              <w:jc w:val="both"/>
              <w:rPr>
                <w:rFonts w:ascii="Times New Roman" w:hAnsi="Times New Roman" w:cs="Times New Roman"/>
              </w:rPr>
            </w:pPr>
          </w:p>
          <w:p w14:paraId="1697B692" w14:textId="0B605153" w:rsidR="00E60663" w:rsidRPr="000212FA" w:rsidRDefault="0039755A" w:rsidP="003318FC">
            <w:pPr>
              <w:spacing w:after="0" w:line="240" w:lineRule="auto"/>
              <w:jc w:val="both"/>
              <w:rPr>
                <w:rFonts w:ascii="Times New Roman" w:hAnsi="Times New Roman" w:cs="Times New Roman"/>
              </w:rPr>
            </w:pPr>
            <w:r w:rsidRPr="000212FA">
              <w:rPr>
                <w:rFonts w:ascii="Times New Roman" w:hAnsi="Times New Roman" w:cs="Times New Roman"/>
              </w:rPr>
              <w:t>W celu wyeliminowania potencjalnych wątpliwości interpretacyjnych w art. 4 ustawy z dnia 13 października 1998 r. o systemie ubezpieczeń społecznych; dalej „</w:t>
            </w:r>
            <w:proofErr w:type="spellStart"/>
            <w:r w:rsidRPr="000212FA">
              <w:rPr>
                <w:rFonts w:ascii="Times New Roman" w:hAnsi="Times New Roman" w:cs="Times New Roman"/>
              </w:rPr>
              <w:t>u.s.u.s</w:t>
            </w:r>
            <w:proofErr w:type="spellEnd"/>
            <w:r w:rsidRPr="000212FA">
              <w:rPr>
                <w:rFonts w:ascii="Times New Roman" w:hAnsi="Times New Roman" w:cs="Times New Roman"/>
              </w:rPr>
              <w:t>” z</w:t>
            </w:r>
            <w:r w:rsidR="00E60663" w:rsidRPr="000212FA">
              <w:rPr>
                <w:rFonts w:ascii="Times New Roman" w:hAnsi="Times New Roman" w:cs="Times New Roman"/>
              </w:rPr>
              <w:t>osta</w:t>
            </w:r>
            <w:r w:rsidR="00221DD7" w:rsidRPr="000212FA">
              <w:rPr>
                <w:rFonts w:ascii="Times New Roman" w:hAnsi="Times New Roman" w:cs="Times New Roman"/>
              </w:rPr>
              <w:t>ła</w:t>
            </w:r>
            <w:r w:rsidR="00E60663" w:rsidRPr="000212FA">
              <w:rPr>
                <w:rFonts w:ascii="Times New Roman" w:hAnsi="Times New Roman" w:cs="Times New Roman"/>
              </w:rPr>
              <w:t xml:space="preserve"> dodana definicja </w:t>
            </w:r>
            <w:r w:rsidRPr="000212FA">
              <w:rPr>
                <w:rFonts w:ascii="Times New Roman" w:hAnsi="Times New Roman" w:cs="Times New Roman"/>
              </w:rPr>
              <w:t>pojęcia „</w:t>
            </w:r>
            <w:r w:rsidR="00785AD2" w:rsidRPr="000212FA">
              <w:rPr>
                <w:rFonts w:ascii="Times New Roman" w:hAnsi="Times New Roman" w:cs="Times New Roman"/>
              </w:rPr>
              <w:t>osoba</w:t>
            </w:r>
            <w:r w:rsidRPr="000212FA">
              <w:rPr>
                <w:rFonts w:ascii="Times New Roman" w:hAnsi="Times New Roman" w:cs="Times New Roman"/>
              </w:rPr>
              <w:t xml:space="preserve"> wykonując</w:t>
            </w:r>
            <w:r w:rsidR="00785AD2" w:rsidRPr="000212FA">
              <w:rPr>
                <w:rFonts w:ascii="Times New Roman" w:hAnsi="Times New Roman" w:cs="Times New Roman"/>
              </w:rPr>
              <w:t>a</w:t>
            </w:r>
            <w:r w:rsidRPr="000212FA">
              <w:rPr>
                <w:rFonts w:ascii="Times New Roman" w:hAnsi="Times New Roman" w:cs="Times New Roman"/>
              </w:rPr>
              <w:t xml:space="preserve"> samodzielny zawód medyczny” – w której w jednoznaczny sposób sprecyzowany zostanie krąg podmiotów, których ona dotyczy.</w:t>
            </w:r>
          </w:p>
          <w:p w14:paraId="5375E041" w14:textId="6C28F859" w:rsidR="0039755A" w:rsidRPr="000212FA" w:rsidRDefault="0039755A" w:rsidP="003318FC">
            <w:pPr>
              <w:spacing w:after="0" w:line="240" w:lineRule="auto"/>
              <w:jc w:val="both"/>
              <w:rPr>
                <w:rFonts w:ascii="Times New Roman" w:hAnsi="Times New Roman" w:cs="Times New Roman"/>
              </w:rPr>
            </w:pPr>
          </w:p>
          <w:p w14:paraId="10236C6A" w14:textId="0E3711D0" w:rsidR="00262253" w:rsidRPr="000212FA" w:rsidRDefault="00800B86" w:rsidP="003318FC">
            <w:pPr>
              <w:spacing w:after="0" w:line="240" w:lineRule="auto"/>
              <w:jc w:val="both"/>
              <w:rPr>
                <w:rFonts w:ascii="Times New Roman" w:hAnsi="Times New Roman" w:cs="Times New Roman"/>
              </w:rPr>
            </w:pPr>
            <w:r w:rsidRPr="000212FA">
              <w:rPr>
                <w:rFonts w:ascii="Times New Roman" w:hAnsi="Times New Roman" w:cs="Times New Roman"/>
              </w:rPr>
              <w:t>P</w:t>
            </w:r>
            <w:r w:rsidR="0039755A" w:rsidRPr="000212FA">
              <w:rPr>
                <w:rFonts w:ascii="Times New Roman" w:hAnsi="Times New Roman" w:cs="Times New Roman"/>
              </w:rPr>
              <w:t xml:space="preserve">odstawa prawna do wykonywania przez pielęgniarki i fizjoterapeutów założonych </w:t>
            </w:r>
            <w:r w:rsidR="00225E83" w:rsidRPr="000212FA">
              <w:rPr>
                <w:rFonts w:ascii="Times New Roman" w:hAnsi="Times New Roman" w:cs="Times New Roman"/>
              </w:rPr>
              <w:t>w</w:t>
            </w:r>
            <w:r w:rsidR="0039755A" w:rsidRPr="000212FA">
              <w:rPr>
                <w:rFonts w:ascii="Times New Roman" w:hAnsi="Times New Roman" w:cs="Times New Roman"/>
              </w:rPr>
              <w:t xml:space="preserve"> </w:t>
            </w:r>
            <w:r w:rsidR="00225E83" w:rsidRPr="000212FA">
              <w:rPr>
                <w:rFonts w:ascii="Times New Roman" w:hAnsi="Times New Roman" w:cs="Times New Roman"/>
              </w:rPr>
              <w:t>projekcie</w:t>
            </w:r>
            <w:r w:rsidR="0039755A" w:rsidRPr="000212FA">
              <w:rPr>
                <w:rFonts w:ascii="Times New Roman" w:hAnsi="Times New Roman" w:cs="Times New Roman"/>
              </w:rPr>
              <w:t xml:space="preserve"> działań</w:t>
            </w:r>
            <w:r w:rsidR="00225E83" w:rsidRPr="000212FA">
              <w:rPr>
                <w:rFonts w:ascii="Times New Roman" w:hAnsi="Times New Roman" w:cs="Times New Roman"/>
              </w:rPr>
              <w:t xml:space="preserve"> zosta</w:t>
            </w:r>
            <w:r w:rsidR="004D6D9C" w:rsidRPr="000212FA">
              <w:rPr>
                <w:rFonts w:ascii="Times New Roman" w:hAnsi="Times New Roman" w:cs="Times New Roman"/>
              </w:rPr>
              <w:t>ła</w:t>
            </w:r>
            <w:r w:rsidR="00225E83" w:rsidRPr="000212FA">
              <w:rPr>
                <w:rFonts w:ascii="Times New Roman" w:hAnsi="Times New Roman" w:cs="Times New Roman"/>
              </w:rPr>
              <w:t xml:space="preserve"> zapewniona </w:t>
            </w:r>
            <w:r w:rsidR="0039755A" w:rsidRPr="000212FA">
              <w:rPr>
                <w:rFonts w:ascii="Times New Roman" w:hAnsi="Times New Roman" w:cs="Times New Roman"/>
              </w:rPr>
              <w:t xml:space="preserve">poprzez </w:t>
            </w:r>
            <w:r w:rsidR="00225E83" w:rsidRPr="000212FA">
              <w:rPr>
                <w:rFonts w:ascii="Times New Roman" w:hAnsi="Times New Roman" w:cs="Times New Roman"/>
              </w:rPr>
              <w:t>rozszerzenie</w:t>
            </w:r>
            <w:r w:rsidR="0039755A" w:rsidRPr="000212FA">
              <w:rPr>
                <w:rFonts w:ascii="Times New Roman" w:hAnsi="Times New Roman" w:cs="Times New Roman"/>
              </w:rPr>
              <w:t xml:space="preserve"> </w:t>
            </w:r>
            <w:r w:rsidR="00225E83" w:rsidRPr="000212FA">
              <w:rPr>
                <w:rFonts w:ascii="Times New Roman" w:hAnsi="Times New Roman" w:cs="Times New Roman"/>
              </w:rPr>
              <w:t>odpowiednio w art. 4 ustawy z dnia 15 lipca 2011 r. o</w:t>
            </w:r>
            <w:r w:rsidR="00E3106D" w:rsidRPr="000212FA">
              <w:rPr>
                <w:rFonts w:ascii="Times New Roman" w:hAnsi="Times New Roman" w:cs="Times New Roman"/>
              </w:rPr>
              <w:t xml:space="preserve"> </w:t>
            </w:r>
            <w:r w:rsidR="00225E83" w:rsidRPr="000212FA">
              <w:rPr>
                <w:rFonts w:ascii="Times New Roman" w:hAnsi="Times New Roman" w:cs="Times New Roman"/>
              </w:rPr>
              <w:t>zawodach pielęgniarki i położnej oraz w art. 4 ust. 2 ustawy z dnia 25 września</w:t>
            </w:r>
            <w:r w:rsidR="00E3106D" w:rsidRPr="000212FA">
              <w:rPr>
                <w:rFonts w:ascii="Times New Roman" w:hAnsi="Times New Roman" w:cs="Times New Roman"/>
              </w:rPr>
              <w:t xml:space="preserve"> </w:t>
            </w:r>
            <w:r w:rsidR="00225E83" w:rsidRPr="000212FA">
              <w:rPr>
                <w:rFonts w:ascii="Times New Roman" w:hAnsi="Times New Roman" w:cs="Times New Roman"/>
              </w:rPr>
              <w:t xml:space="preserve">2015 r. o zawodzie fizjoterapeuty, zakresu </w:t>
            </w:r>
            <w:r w:rsidR="00857C0C" w:rsidRPr="000212FA">
              <w:rPr>
                <w:rFonts w:ascii="Times New Roman" w:hAnsi="Times New Roman" w:cs="Times New Roman"/>
              </w:rPr>
              <w:t xml:space="preserve">czynności realizowanych w ramach </w:t>
            </w:r>
            <w:r w:rsidR="00225E83" w:rsidRPr="000212FA">
              <w:rPr>
                <w:rFonts w:ascii="Times New Roman" w:hAnsi="Times New Roman" w:cs="Times New Roman"/>
              </w:rPr>
              <w:t>wykonywan</w:t>
            </w:r>
            <w:r w:rsidR="00857C0C" w:rsidRPr="000212FA">
              <w:rPr>
                <w:rFonts w:ascii="Times New Roman" w:hAnsi="Times New Roman" w:cs="Times New Roman"/>
              </w:rPr>
              <w:t xml:space="preserve">ego </w:t>
            </w:r>
            <w:r w:rsidR="00225E83" w:rsidRPr="000212FA">
              <w:rPr>
                <w:rFonts w:ascii="Times New Roman" w:hAnsi="Times New Roman" w:cs="Times New Roman"/>
              </w:rPr>
              <w:t>przez nich zawodu</w:t>
            </w:r>
            <w:r w:rsidR="00AA43E9" w:rsidRPr="000212FA">
              <w:rPr>
                <w:rFonts w:ascii="Times New Roman" w:hAnsi="Times New Roman" w:cs="Times New Roman"/>
              </w:rPr>
              <w:t>,</w:t>
            </w:r>
            <w:r w:rsidR="00E3106D" w:rsidRPr="000212FA">
              <w:rPr>
                <w:rFonts w:ascii="Times New Roman" w:hAnsi="Times New Roman" w:cs="Times New Roman"/>
              </w:rPr>
              <w:t xml:space="preserve"> </w:t>
            </w:r>
            <w:r w:rsidR="00233EEB" w:rsidRPr="000212FA">
              <w:rPr>
                <w:rFonts w:ascii="Times New Roman" w:hAnsi="Times New Roman" w:cs="Times New Roman"/>
              </w:rPr>
              <w:br/>
            </w:r>
            <w:r w:rsidR="00AA43E9" w:rsidRPr="000212FA">
              <w:rPr>
                <w:rFonts w:ascii="Times New Roman" w:hAnsi="Times New Roman" w:cs="Times New Roman"/>
              </w:rPr>
              <w:t xml:space="preserve">tj. wydawania orzeczenia w sprawach </w:t>
            </w:r>
            <w:r w:rsidR="00233EEB" w:rsidRPr="000212FA">
              <w:rPr>
                <w:rFonts w:ascii="Times New Roman" w:hAnsi="Times New Roman" w:cs="Times New Roman"/>
              </w:rPr>
              <w:br/>
            </w:r>
            <w:r w:rsidR="00AA43E9" w:rsidRPr="000212FA">
              <w:rPr>
                <w:rFonts w:ascii="Times New Roman" w:hAnsi="Times New Roman" w:cs="Times New Roman"/>
              </w:rPr>
              <w:t xml:space="preserve">o rehabilitację leczniczą w ramach prewencji rentowej w zakresie profilu narządu ruchu </w:t>
            </w:r>
            <w:r w:rsidR="00AA43E9" w:rsidRPr="000212FA">
              <w:rPr>
                <w:rFonts w:ascii="Times New Roman" w:hAnsi="Times New Roman" w:cs="Times New Roman"/>
              </w:rPr>
              <w:lastRenderedPageBreak/>
              <w:t>oraz w sprawach, w których ustala się niezdolność do samodzielnej egzystencji).</w:t>
            </w:r>
          </w:p>
          <w:p w14:paraId="314F0D29" w14:textId="5C38F532" w:rsidR="00262253" w:rsidRPr="000212FA" w:rsidRDefault="00262253" w:rsidP="003318FC">
            <w:pPr>
              <w:spacing w:after="0" w:line="240" w:lineRule="auto"/>
              <w:jc w:val="both"/>
              <w:rPr>
                <w:rFonts w:ascii="Times New Roman" w:hAnsi="Times New Roman" w:cs="Times New Roman"/>
              </w:rPr>
            </w:pPr>
          </w:p>
        </w:tc>
      </w:tr>
      <w:tr w:rsidR="00C329D1" w:rsidRPr="000212FA" w14:paraId="551E2CD6" w14:textId="77777777" w:rsidTr="003318FC">
        <w:tc>
          <w:tcPr>
            <w:tcW w:w="567" w:type="dxa"/>
          </w:tcPr>
          <w:p w14:paraId="767F08C4" w14:textId="77777777" w:rsidR="00C329D1" w:rsidRPr="000212FA" w:rsidRDefault="00C329D1" w:rsidP="003318FC">
            <w:pPr>
              <w:pStyle w:val="Akapitzlist"/>
              <w:numPr>
                <w:ilvl w:val="0"/>
                <w:numId w:val="1"/>
              </w:numPr>
              <w:spacing w:after="0" w:line="240" w:lineRule="auto"/>
              <w:ind w:left="0" w:firstLine="0"/>
              <w:jc w:val="both"/>
              <w:rPr>
                <w:rFonts w:ascii="Times New Roman" w:hAnsi="Times New Roman" w:cs="Times New Roman"/>
                <w:b/>
              </w:rPr>
            </w:pPr>
          </w:p>
        </w:tc>
        <w:tc>
          <w:tcPr>
            <w:tcW w:w="1418" w:type="dxa"/>
            <w:vAlign w:val="center"/>
          </w:tcPr>
          <w:p w14:paraId="028046CF" w14:textId="6D4A6479" w:rsidR="00C329D1" w:rsidRPr="000212FA" w:rsidRDefault="00C329D1" w:rsidP="003318FC">
            <w:pPr>
              <w:spacing w:after="0" w:line="240" w:lineRule="auto"/>
              <w:jc w:val="both"/>
              <w:rPr>
                <w:rFonts w:ascii="Times New Roman" w:hAnsi="Times New Roman" w:cs="Times New Roman"/>
              </w:rPr>
            </w:pPr>
            <w:r w:rsidRPr="000212FA">
              <w:rPr>
                <w:rFonts w:ascii="Times New Roman" w:hAnsi="Times New Roman" w:cs="Times New Roman"/>
              </w:rPr>
              <w:t>Uwaga ogólna</w:t>
            </w:r>
          </w:p>
        </w:tc>
        <w:tc>
          <w:tcPr>
            <w:tcW w:w="1559" w:type="dxa"/>
            <w:vAlign w:val="center"/>
          </w:tcPr>
          <w:p w14:paraId="0E293391" w14:textId="639C5128" w:rsidR="00C329D1" w:rsidRPr="000212FA" w:rsidRDefault="00C329D1" w:rsidP="003318FC">
            <w:pPr>
              <w:spacing w:after="0" w:line="240" w:lineRule="auto"/>
              <w:jc w:val="both"/>
              <w:rPr>
                <w:rFonts w:ascii="Times New Roman" w:hAnsi="Times New Roman" w:cs="Times New Roman"/>
              </w:rPr>
            </w:pPr>
            <w:r w:rsidRPr="000212FA">
              <w:rPr>
                <w:rFonts w:ascii="Times New Roman" w:hAnsi="Times New Roman" w:cs="Times New Roman"/>
              </w:rPr>
              <w:t>MZ</w:t>
            </w:r>
          </w:p>
        </w:tc>
        <w:tc>
          <w:tcPr>
            <w:tcW w:w="4536" w:type="dxa"/>
          </w:tcPr>
          <w:p w14:paraId="5DABF647" w14:textId="774EC3A4" w:rsidR="00C329D1" w:rsidRPr="000212FA" w:rsidRDefault="00C329D1" w:rsidP="003318FC">
            <w:pPr>
              <w:autoSpaceDE w:val="0"/>
              <w:autoSpaceDN w:val="0"/>
              <w:adjustRightInd w:val="0"/>
              <w:spacing w:after="0" w:line="240" w:lineRule="auto"/>
              <w:jc w:val="both"/>
              <w:rPr>
                <w:rFonts w:ascii="Times New Roman" w:hAnsi="Times New Roman" w:cs="Times New Roman"/>
              </w:rPr>
            </w:pPr>
            <w:r w:rsidRPr="000212FA">
              <w:rPr>
                <w:rFonts w:ascii="Times New Roman" w:hAnsi="Times New Roman" w:cs="Times New Roman"/>
              </w:rPr>
              <w:t>W powiązaniu z uwagą I, wątpliwości budzi również użycie w projekcie ustawy wyrazu „specjalista” (w cz. „specjalista wykonujący samodzielny zawód medyczny”), gdyż nie wiadomo czy przez specjalistę należy rozumieć osobę wykonującą zawód medyczny, która posiada specjalizację, czy też każdą osobę również bez specjalizacji.</w:t>
            </w:r>
          </w:p>
        </w:tc>
        <w:tc>
          <w:tcPr>
            <w:tcW w:w="3402" w:type="dxa"/>
            <w:vAlign w:val="center"/>
          </w:tcPr>
          <w:p w14:paraId="2913DFE8" w14:textId="77777777" w:rsidR="00C329D1" w:rsidRPr="000212FA" w:rsidRDefault="00C329D1" w:rsidP="003318FC">
            <w:pPr>
              <w:spacing w:after="0" w:line="240" w:lineRule="auto"/>
              <w:jc w:val="both"/>
              <w:rPr>
                <w:rFonts w:ascii="Times New Roman" w:hAnsi="Times New Roman" w:cs="Times New Roman"/>
              </w:rPr>
            </w:pPr>
          </w:p>
        </w:tc>
        <w:tc>
          <w:tcPr>
            <w:tcW w:w="4253" w:type="dxa"/>
          </w:tcPr>
          <w:p w14:paraId="501B5CAE" w14:textId="77777777" w:rsidR="000C7CE9" w:rsidRPr="000212FA" w:rsidRDefault="00100E77" w:rsidP="003318FC">
            <w:pPr>
              <w:spacing w:after="0" w:line="240" w:lineRule="auto"/>
              <w:jc w:val="both"/>
              <w:rPr>
                <w:rFonts w:ascii="Times New Roman" w:hAnsi="Times New Roman" w:cs="Times New Roman"/>
                <w:b/>
                <w:bCs/>
              </w:rPr>
            </w:pPr>
            <w:r w:rsidRPr="000212FA">
              <w:rPr>
                <w:rFonts w:ascii="Times New Roman" w:hAnsi="Times New Roman" w:cs="Times New Roman"/>
                <w:b/>
                <w:bCs/>
              </w:rPr>
              <w:t>Uwaga uwzględniona.</w:t>
            </w:r>
          </w:p>
          <w:p w14:paraId="7B6EFD66" w14:textId="77777777" w:rsidR="00100E77" w:rsidRPr="000212FA" w:rsidRDefault="00100E77" w:rsidP="003318FC">
            <w:pPr>
              <w:spacing w:after="0" w:line="240" w:lineRule="auto"/>
              <w:jc w:val="both"/>
              <w:rPr>
                <w:rFonts w:ascii="Times New Roman" w:hAnsi="Times New Roman" w:cs="Times New Roman"/>
                <w:b/>
                <w:bCs/>
              </w:rPr>
            </w:pPr>
          </w:p>
          <w:p w14:paraId="460EEAE3" w14:textId="15B6ABA6" w:rsidR="004D5ED0" w:rsidRPr="000212FA" w:rsidRDefault="004D5ED0" w:rsidP="003318FC">
            <w:pPr>
              <w:spacing w:after="0" w:line="240" w:lineRule="auto"/>
              <w:jc w:val="both"/>
              <w:rPr>
                <w:rFonts w:ascii="Times New Roman" w:hAnsi="Times New Roman" w:cs="Times New Roman"/>
              </w:rPr>
            </w:pPr>
            <w:r w:rsidRPr="000212FA">
              <w:rPr>
                <w:rFonts w:ascii="Times New Roman" w:hAnsi="Times New Roman" w:cs="Times New Roman"/>
              </w:rPr>
              <w:t>Patrz Lp. 1.</w:t>
            </w:r>
          </w:p>
          <w:p w14:paraId="0A4BA4DB" w14:textId="77777777" w:rsidR="004D5ED0" w:rsidRPr="000212FA" w:rsidRDefault="004D5ED0" w:rsidP="003318FC">
            <w:pPr>
              <w:spacing w:after="0" w:line="240" w:lineRule="auto"/>
              <w:jc w:val="both"/>
              <w:rPr>
                <w:rFonts w:ascii="Times New Roman" w:hAnsi="Times New Roman" w:cs="Times New Roman"/>
                <w:b/>
                <w:bCs/>
                <w:highlight w:val="yellow"/>
              </w:rPr>
            </w:pPr>
          </w:p>
          <w:p w14:paraId="10528CF0" w14:textId="77777777" w:rsidR="0080542E" w:rsidRPr="000212FA" w:rsidRDefault="0080542E" w:rsidP="003318FC">
            <w:pPr>
              <w:spacing w:after="0" w:line="240" w:lineRule="auto"/>
              <w:jc w:val="both"/>
              <w:rPr>
                <w:rFonts w:ascii="Times New Roman" w:hAnsi="Times New Roman" w:cs="Times New Roman"/>
                <w:b/>
                <w:bCs/>
              </w:rPr>
            </w:pPr>
          </w:p>
          <w:p w14:paraId="7A818026" w14:textId="3E5CFC94" w:rsidR="0080542E" w:rsidRPr="000212FA" w:rsidRDefault="0080542E" w:rsidP="003318FC">
            <w:pPr>
              <w:spacing w:after="0" w:line="240" w:lineRule="auto"/>
              <w:jc w:val="both"/>
              <w:rPr>
                <w:rFonts w:ascii="Times New Roman" w:hAnsi="Times New Roman" w:cs="Times New Roman"/>
                <w:b/>
                <w:bCs/>
              </w:rPr>
            </w:pPr>
          </w:p>
        </w:tc>
      </w:tr>
      <w:tr w:rsidR="00C329D1" w:rsidRPr="000212FA" w14:paraId="6BBEF7F3" w14:textId="77777777" w:rsidTr="003318FC">
        <w:tc>
          <w:tcPr>
            <w:tcW w:w="567" w:type="dxa"/>
          </w:tcPr>
          <w:p w14:paraId="28D4AAED" w14:textId="77777777" w:rsidR="00C329D1" w:rsidRPr="000212FA" w:rsidRDefault="00C329D1" w:rsidP="003318FC">
            <w:pPr>
              <w:pStyle w:val="Akapitzlist"/>
              <w:numPr>
                <w:ilvl w:val="0"/>
                <w:numId w:val="1"/>
              </w:numPr>
              <w:spacing w:after="0" w:line="240" w:lineRule="auto"/>
              <w:ind w:left="0" w:firstLine="0"/>
              <w:jc w:val="both"/>
              <w:rPr>
                <w:rFonts w:ascii="Times New Roman" w:hAnsi="Times New Roman" w:cs="Times New Roman"/>
                <w:b/>
              </w:rPr>
            </w:pPr>
          </w:p>
        </w:tc>
        <w:tc>
          <w:tcPr>
            <w:tcW w:w="1418" w:type="dxa"/>
            <w:vAlign w:val="center"/>
          </w:tcPr>
          <w:p w14:paraId="01AE0B7C" w14:textId="51AC2C81" w:rsidR="00C329D1" w:rsidRPr="000212FA" w:rsidRDefault="00C329D1" w:rsidP="003318FC">
            <w:pPr>
              <w:spacing w:after="0" w:line="240" w:lineRule="auto"/>
              <w:jc w:val="both"/>
              <w:rPr>
                <w:rFonts w:ascii="Times New Roman" w:hAnsi="Times New Roman" w:cs="Times New Roman"/>
              </w:rPr>
            </w:pPr>
            <w:r w:rsidRPr="000212FA">
              <w:rPr>
                <w:rFonts w:ascii="Times New Roman" w:hAnsi="Times New Roman" w:cs="Times New Roman"/>
              </w:rPr>
              <w:t>Uwaga ogólna</w:t>
            </w:r>
          </w:p>
        </w:tc>
        <w:tc>
          <w:tcPr>
            <w:tcW w:w="1559" w:type="dxa"/>
            <w:vAlign w:val="center"/>
          </w:tcPr>
          <w:p w14:paraId="0CFB4F2B" w14:textId="4EC6FC82" w:rsidR="00C329D1" w:rsidRPr="000212FA" w:rsidRDefault="00C329D1" w:rsidP="003318FC">
            <w:pPr>
              <w:spacing w:after="0" w:line="240" w:lineRule="auto"/>
              <w:jc w:val="both"/>
              <w:rPr>
                <w:rFonts w:ascii="Times New Roman" w:hAnsi="Times New Roman" w:cs="Times New Roman"/>
              </w:rPr>
            </w:pPr>
            <w:r w:rsidRPr="000212FA">
              <w:rPr>
                <w:rFonts w:ascii="Times New Roman" w:hAnsi="Times New Roman" w:cs="Times New Roman"/>
              </w:rPr>
              <w:t>MZ</w:t>
            </w:r>
          </w:p>
        </w:tc>
        <w:tc>
          <w:tcPr>
            <w:tcW w:w="4536" w:type="dxa"/>
          </w:tcPr>
          <w:p w14:paraId="2018E42A" w14:textId="6D6649BD" w:rsidR="00C329D1" w:rsidRPr="000212FA" w:rsidRDefault="00C329D1" w:rsidP="003318FC">
            <w:pPr>
              <w:autoSpaceDE w:val="0"/>
              <w:autoSpaceDN w:val="0"/>
              <w:adjustRightInd w:val="0"/>
              <w:spacing w:after="0" w:line="240" w:lineRule="auto"/>
              <w:jc w:val="both"/>
              <w:rPr>
                <w:rFonts w:ascii="Times New Roman" w:hAnsi="Times New Roman" w:cs="Times New Roman"/>
              </w:rPr>
            </w:pPr>
            <w:r w:rsidRPr="000212FA">
              <w:rPr>
                <w:rFonts w:ascii="Times New Roman" w:hAnsi="Times New Roman" w:cs="Times New Roman"/>
              </w:rPr>
              <w:t xml:space="preserve">W uzasadnieniu do projektu ustawy wskazano, iż projektowane regulacje będą dotyczyły m.in. </w:t>
            </w:r>
            <w:r w:rsidRPr="000212FA">
              <w:rPr>
                <w:rFonts w:ascii="Times New Roman" w:hAnsi="Times New Roman" w:cs="Times New Roman"/>
              </w:rPr>
              <w:lastRenderedPageBreak/>
              <w:t>wprowadzenia zmian „(…) w zakresie kwalifikacji wymaganych od lekarzy orzeczników, tj. możliwość zatrudniania poza lekarzami specjalistami, również lekarzy nie posiadających tytułu specjalisty. W projekcie dopuszcza się możliwość zatrudniania do wydawania orzeczeń w pierwszej instancji lekarzy w trakcie szkolenia specjalizacyjnego w określonej dziedzinie medycyny oraz lekarzy wykonujących czynnie zawód co najmniej 5 lat. (…) (str. 5 uzasadnienia). Z kolei w części normatywnej projektu ustawy nie odnaleziono przepisów odpowiadających tej treści.</w:t>
            </w:r>
          </w:p>
        </w:tc>
        <w:tc>
          <w:tcPr>
            <w:tcW w:w="3402" w:type="dxa"/>
            <w:vAlign w:val="center"/>
          </w:tcPr>
          <w:p w14:paraId="75F5EAEC" w14:textId="77777777" w:rsidR="00C329D1" w:rsidRPr="000212FA" w:rsidRDefault="00C329D1" w:rsidP="003318FC">
            <w:pPr>
              <w:spacing w:after="0" w:line="240" w:lineRule="auto"/>
              <w:jc w:val="both"/>
              <w:rPr>
                <w:rFonts w:ascii="Times New Roman" w:hAnsi="Times New Roman" w:cs="Times New Roman"/>
              </w:rPr>
            </w:pPr>
          </w:p>
        </w:tc>
        <w:tc>
          <w:tcPr>
            <w:tcW w:w="4253" w:type="dxa"/>
          </w:tcPr>
          <w:p w14:paraId="42049F1B" w14:textId="54C17089" w:rsidR="00CD00CB" w:rsidRPr="000212FA" w:rsidRDefault="00CD00CB" w:rsidP="003318FC">
            <w:pPr>
              <w:spacing w:after="0" w:line="240" w:lineRule="auto"/>
              <w:jc w:val="both"/>
              <w:rPr>
                <w:rFonts w:ascii="Times New Roman" w:hAnsi="Times New Roman" w:cs="Times New Roman"/>
                <w:b/>
                <w:bCs/>
              </w:rPr>
            </w:pPr>
            <w:r w:rsidRPr="000212FA">
              <w:rPr>
                <w:rFonts w:ascii="Times New Roman" w:hAnsi="Times New Roman" w:cs="Times New Roman"/>
                <w:b/>
                <w:bCs/>
              </w:rPr>
              <w:t>Uwaga uwzględniona.</w:t>
            </w:r>
          </w:p>
          <w:p w14:paraId="54C89007" w14:textId="77777777" w:rsidR="00CD00CB" w:rsidRPr="000212FA" w:rsidRDefault="00CD00CB" w:rsidP="003318FC">
            <w:pPr>
              <w:spacing w:after="0" w:line="240" w:lineRule="auto"/>
              <w:jc w:val="both"/>
              <w:rPr>
                <w:rFonts w:ascii="Times New Roman" w:hAnsi="Times New Roman" w:cs="Times New Roman"/>
              </w:rPr>
            </w:pPr>
          </w:p>
          <w:p w14:paraId="5FD33F68" w14:textId="2830D29E" w:rsidR="00CD00CB" w:rsidRPr="000212FA" w:rsidRDefault="00CD00CB" w:rsidP="003318FC">
            <w:pPr>
              <w:spacing w:after="0" w:line="240" w:lineRule="auto"/>
              <w:jc w:val="both"/>
              <w:rPr>
                <w:rFonts w:ascii="Times New Roman" w:hAnsi="Times New Roman" w:cs="Times New Roman"/>
              </w:rPr>
            </w:pPr>
            <w:r w:rsidRPr="000212FA">
              <w:rPr>
                <w:rFonts w:ascii="Times New Roman" w:hAnsi="Times New Roman" w:cs="Times New Roman"/>
              </w:rPr>
              <w:lastRenderedPageBreak/>
              <w:t xml:space="preserve">Projektowane zapisy w zakresie wymaganych od lekarzy orzeczników kwalifikacji będą ujęte w </w:t>
            </w:r>
            <w:r w:rsidR="00145471" w:rsidRPr="000212FA">
              <w:rPr>
                <w:rFonts w:ascii="Times New Roman" w:hAnsi="Times New Roman" w:cs="Times New Roman"/>
              </w:rPr>
              <w:t xml:space="preserve">akcie wykonawczym wydanym na podstawie upoważnienia ustawowego zawartego w art. 85b ust. 5 </w:t>
            </w:r>
            <w:proofErr w:type="spellStart"/>
            <w:r w:rsidR="00145471" w:rsidRPr="000212FA">
              <w:rPr>
                <w:rFonts w:ascii="Times New Roman" w:hAnsi="Times New Roman" w:cs="Times New Roman"/>
              </w:rPr>
              <w:t>u.s.u.s</w:t>
            </w:r>
            <w:proofErr w:type="spellEnd"/>
            <w:r w:rsidR="00145471" w:rsidRPr="000212FA">
              <w:rPr>
                <w:rFonts w:ascii="Times New Roman" w:hAnsi="Times New Roman" w:cs="Times New Roman"/>
              </w:rPr>
              <w:t>.</w:t>
            </w:r>
            <w:r w:rsidRPr="000212FA">
              <w:rPr>
                <w:rFonts w:ascii="Times New Roman" w:hAnsi="Times New Roman" w:cs="Times New Roman"/>
              </w:rPr>
              <w:t xml:space="preserve"> Z tych względów </w:t>
            </w:r>
            <w:r w:rsidR="00D81F87" w:rsidRPr="000212FA">
              <w:rPr>
                <w:rFonts w:ascii="Times New Roman" w:hAnsi="Times New Roman" w:cs="Times New Roman"/>
              </w:rPr>
              <w:t>dokonano o</w:t>
            </w:r>
            <w:r w:rsidRPr="000212FA">
              <w:rPr>
                <w:rFonts w:ascii="Times New Roman" w:hAnsi="Times New Roman" w:cs="Times New Roman"/>
              </w:rPr>
              <w:t>dpowiedniej</w:t>
            </w:r>
            <w:r w:rsidR="004D5ED0" w:rsidRPr="000212FA">
              <w:rPr>
                <w:rFonts w:ascii="Times New Roman" w:hAnsi="Times New Roman" w:cs="Times New Roman"/>
              </w:rPr>
              <w:t xml:space="preserve"> </w:t>
            </w:r>
            <w:r w:rsidRPr="000212FA">
              <w:rPr>
                <w:rFonts w:ascii="Times New Roman" w:hAnsi="Times New Roman" w:cs="Times New Roman"/>
              </w:rPr>
              <w:t>modyfikacji uzasadnieni</w:t>
            </w:r>
            <w:r w:rsidR="00D81F87" w:rsidRPr="000212FA">
              <w:rPr>
                <w:rFonts w:ascii="Times New Roman" w:hAnsi="Times New Roman" w:cs="Times New Roman"/>
              </w:rPr>
              <w:t>a</w:t>
            </w:r>
            <w:r w:rsidRPr="000212FA">
              <w:rPr>
                <w:rFonts w:ascii="Times New Roman" w:hAnsi="Times New Roman" w:cs="Times New Roman"/>
              </w:rPr>
              <w:t xml:space="preserve"> do projektu ustawy. </w:t>
            </w:r>
          </w:p>
          <w:p w14:paraId="76426238" w14:textId="2A15EAE7" w:rsidR="004C7317" w:rsidRPr="000212FA" w:rsidRDefault="004C7317" w:rsidP="003318FC">
            <w:pPr>
              <w:spacing w:after="0" w:line="240" w:lineRule="auto"/>
              <w:jc w:val="both"/>
              <w:rPr>
                <w:rFonts w:ascii="Times New Roman" w:hAnsi="Times New Roman" w:cs="Times New Roman"/>
              </w:rPr>
            </w:pPr>
          </w:p>
        </w:tc>
      </w:tr>
      <w:tr w:rsidR="00C329D1" w:rsidRPr="000212FA" w14:paraId="274B4E17" w14:textId="77777777" w:rsidTr="003318FC">
        <w:tc>
          <w:tcPr>
            <w:tcW w:w="567" w:type="dxa"/>
          </w:tcPr>
          <w:p w14:paraId="208AE0D0" w14:textId="77777777" w:rsidR="00C329D1" w:rsidRPr="000212FA" w:rsidRDefault="00C329D1" w:rsidP="003318FC">
            <w:pPr>
              <w:pStyle w:val="Akapitzlist"/>
              <w:numPr>
                <w:ilvl w:val="0"/>
                <w:numId w:val="1"/>
              </w:numPr>
              <w:spacing w:after="0" w:line="240" w:lineRule="auto"/>
              <w:ind w:left="0" w:firstLine="0"/>
              <w:jc w:val="both"/>
              <w:rPr>
                <w:rFonts w:ascii="Times New Roman" w:hAnsi="Times New Roman" w:cs="Times New Roman"/>
                <w:b/>
              </w:rPr>
            </w:pPr>
          </w:p>
        </w:tc>
        <w:tc>
          <w:tcPr>
            <w:tcW w:w="1418" w:type="dxa"/>
            <w:vAlign w:val="center"/>
          </w:tcPr>
          <w:p w14:paraId="0ADF5F56" w14:textId="399919A1" w:rsidR="00C329D1" w:rsidRPr="000212FA" w:rsidRDefault="00C329D1" w:rsidP="003318FC">
            <w:pPr>
              <w:spacing w:after="0" w:line="240" w:lineRule="auto"/>
              <w:jc w:val="both"/>
              <w:rPr>
                <w:rFonts w:ascii="Times New Roman" w:hAnsi="Times New Roman" w:cs="Times New Roman"/>
              </w:rPr>
            </w:pPr>
            <w:r w:rsidRPr="000212FA">
              <w:rPr>
                <w:rFonts w:ascii="Times New Roman" w:hAnsi="Times New Roman" w:cs="Times New Roman"/>
              </w:rPr>
              <w:t>Uwaga ogólna</w:t>
            </w:r>
          </w:p>
        </w:tc>
        <w:tc>
          <w:tcPr>
            <w:tcW w:w="1559" w:type="dxa"/>
            <w:vAlign w:val="center"/>
          </w:tcPr>
          <w:p w14:paraId="36591C91" w14:textId="5D25717D" w:rsidR="00C329D1" w:rsidRPr="000212FA" w:rsidRDefault="00C329D1" w:rsidP="003318FC">
            <w:pPr>
              <w:spacing w:after="0" w:line="240" w:lineRule="auto"/>
              <w:jc w:val="both"/>
              <w:rPr>
                <w:rFonts w:ascii="Times New Roman" w:hAnsi="Times New Roman" w:cs="Times New Roman"/>
              </w:rPr>
            </w:pPr>
            <w:r w:rsidRPr="000212FA">
              <w:rPr>
                <w:rFonts w:ascii="Times New Roman" w:hAnsi="Times New Roman" w:cs="Times New Roman"/>
              </w:rPr>
              <w:t>MZ</w:t>
            </w:r>
          </w:p>
        </w:tc>
        <w:tc>
          <w:tcPr>
            <w:tcW w:w="4536" w:type="dxa"/>
          </w:tcPr>
          <w:p w14:paraId="073F5747" w14:textId="77777777" w:rsidR="00FB3ECE" w:rsidRPr="000212FA" w:rsidRDefault="00C329D1" w:rsidP="003318FC">
            <w:pPr>
              <w:autoSpaceDE w:val="0"/>
              <w:autoSpaceDN w:val="0"/>
              <w:adjustRightInd w:val="0"/>
              <w:spacing w:after="0" w:line="240" w:lineRule="auto"/>
              <w:jc w:val="both"/>
              <w:rPr>
                <w:rFonts w:ascii="Times New Roman" w:hAnsi="Times New Roman" w:cs="Times New Roman"/>
              </w:rPr>
            </w:pPr>
            <w:r w:rsidRPr="000212FA">
              <w:rPr>
                <w:rFonts w:ascii="Times New Roman" w:hAnsi="Times New Roman" w:cs="Times New Roman"/>
              </w:rPr>
              <w:t xml:space="preserve">W związku z planowaną zmianą struktury organizacyjnej orzecznictwa lekarskiego, zwracam uwagę na potrzebę dostosowania art. 87a ustawy z dnia 27 sierpnia 2004 r. o świadczeniach opieki zdrowotnej finansowanych ze środków publicznych (Dz. U. z 2024 r. poz. 146, z </w:t>
            </w:r>
            <w:proofErr w:type="spellStart"/>
            <w:r w:rsidRPr="000212FA">
              <w:rPr>
                <w:rFonts w:ascii="Times New Roman" w:hAnsi="Times New Roman" w:cs="Times New Roman"/>
              </w:rPr>
              <w:t>późn</w:t>
            </w:r>
            <w:proofErr w:type="spellEnd"/>
            <w:r w:rsidRPr="000212FA">
              <w:rPr>
                <w:rFonts w:ascii="Times New Roman" w:hAnsi="Times New Roman" w:cs="Times New Roman"/>
              </w:rPr>
              <w:t>. zm.) do nowej struktury organizacyjnej założonej w ww. projekcie ustawy. W związku z przewidzianym w projekcie zaprzestaniem funkcjonowania komisji lekarskich ZUS, należy w projekcie ustawy przewidzieć dodatkową zmian</w:t>
            </w:r>
            <w:r w:rsidR="00075D52" w:rsidRPr="000212FA">
              <w:rPr>
                <w:rFonts w:ascii="Times New Roman" w:hAnsi="Times New Roman" w:cs="Times New Roman"/>
              </w:rPr>
              <w:t>ę</w:t>
            </w:r>
            <w:r w:rsidRPr="000212FA">
              <w:rPr>
                <w:rFonts w:ascii="Times New Roman" w:hAnsi="Times New Roman" w:cs="Times New Roman"/>
              </w:rPr>
              <w:t xml:space="preserve">, polegającą na wykreśleniu w art. 87a w ust. 1 w pkt 4 w lit. b ww. ustawy wyrazów: „lub komisji lekarskiej Zakładu Ubezpieczeń Społecznych”. </w:t>
            </w:r>
          </w:p>
          <w:p w14:paraId="13A9B49B" w14:textId="2FCA8439" w:rsidR="00C329D1" w:rsidRPr="000212FA" w:rsidRDefault="00C329D1" w:rsidP="003318FC">
            <w:pPr>
              <w:autoSpaceDE w:val="0"/>
              <w:autoSpaceDN w:val="0"/>
              <w:adjustRightInd w:val="0"/>
              <w:spacing w:after="0" w:line="240" w:lineRule="auto"/>
              <w:jc w:val="both"/>
              <w:rPr>
                <w:rFonts w:ascii="Times New Roman" w:hAnsi="Times New Roman" w:cs="Times New Roman"/>
              </w:rPr>
            </w:pPr>
            <w:r w:rsidRPr="000212FA">
              <w:rPr>
                <w:rFonts w:ascii="Times New Roman" w:hAnsi="Times New Roman" w:cs="Times New Roman"/>
              </w:rPr>
              <w:t xml:space="preserve">Jednocześnie omawiany projekt rozszerza katalog osób, które mogą orzekać na potrzeby ustalania uprawnień do świadczeń ZUS o „specjalistów wykonujących samodzielne zawody medyczne”. Wobec tego zwracam uwagę na konieczność ewentualnego dostosowania przepisu ww. art. 87a, aby ZUS mógł </w:t>
            </w:r>
            <w:r w:rsidRPr="000212FA">
              <w:rPr>
                <w:rFonts w:ascii="Times New Roman" w:hAnsi="Times New Roman" w:cs="Times New Roman"/>
              </w:rPr>
              <w:lastRenderedPageBreak/>
              <w:t>przekazywać nieodpłatnie do centrali NFZ dane obejmujące rodzaj schorzenia uzasadniającego skierowanie na rehabilitację leczniczą oraz schorzenia współistniejącego, jeżeli takie zostało wskazane w orzeczeniu lekarza orzecznika ZUS lub specjalisty wykonującego samodzielny zawód medyczny o potrzebie rehabilitacji leczniczej, ustalonych według Międzynarodowej Statystycznej Klasyfikacji Chorób i Problemów Zdrowotnych ICD-10.</w:t>
            </w:r>
          </w:p>
        </w:tc>
        <w:tc>
          <w:tcPr>
            <w:tcW w:w="3402" w:type="dxa"/>
            <w:vAlign w:val="center"/>
          </w:tcPr>
          <w:p w14:paraId="70824E2F" w14:textId="77777777" w:rsidR="00C329D1" w:rsidRPr="000212FA" w:rsidRDefault="00C329D1" w:rsidP="003318FC">
            <w:pPr>
              <w:spacing w:after="0" w:line="240" w:lineRule="auto"/>
              <w:jc w:val="both"/>
              <w:rPr>
                <w:rFonts w:ascii="Times New Roman" w:hAnsi="Times New Roman" w:cs="Times New Roman"/>
              </w:rPr>
            </w:pPr>
          </w:p>
        </w:tc>
        <w:tc>
          <w:tcPr>
            <w:tcW w:w="4253" w:type="dxa"/>
          </w:tcPr>
          <w:p w14:paraId="26C965A8" w14:textId="77777777" w:rsidR="009979EE" w:rsidRPr="000212FA" w:rsidRDefault="009979EE" w:rsidP="003318FC">
            <w:pPr>
              <w:spacing w:after="0" w:line="240" w:lineRule="auto"/>
              <w:jc w:val="both"/>
              <w:rPr>
                <w:rFonts w:ascii="Times New Roman" w:hAnsi="Times New Roman" w:cs="Times New Roman"/>
                <w:b/>
                <w:bCs/>
              </w:rPr>
            </w:pPr>
            <w:r w:rsidRPr="000212FA">
              <w:rPr>
                <w:rFonts w:ascii="Times New Roman" w:hAnsi="Times New Roman" w:cs="Times New Roman"/>
                <w:b/>
                <w:bCs/>
              </w:rPr>
              <w:t>Uwaga uwzględniona.</w:t>
            </w:r>
          </w:p>
          <w:p w14:paraId="6A7A3BB9" w14:textId="77777777" w:rsidR="009979EE" w:rsidRPr="000212FA" w:rsidRDefault="009979EE" w:rsidP="003318FC">
            <w:pPr>
              <w:spacing w:after="0" w:line="240" w:lineRule="auto"/>
              <w:jc w:val="both"/>
              <w:rPr>
                <w:rFonts w:ascii="Times New Roman" w:hAnsi="Times New Roman" w:cs="Times New Roman"/>
              </w:rPr>
            </w:pPr>
          </w:p>
          <w:p w14:paraId="51FE63E6" w14:textId="4C45689F" w:rsidR="00C329D1" w:rsidRPr="000212FA" w:rsidRDefault="009979EE" w:rsidP="003318FC">
            <w:pPr>
              <w:spacing w:after="0" w:line="240" w:lineRule="auto"/>
              <w:jc w:val="both"/>
              <w:rPr>
                <w:rFonts w:ascii="Times New Roman" w:hAnsi="Times New Roman" w:cs="Times New Roman"/>
              </w:rPr>
            </w:pPr>
            <w:r w:rsidRPr="000212FA">
              <w:rPr>
                <w:rFonts w:ascii="Times New Roman" w:hAnsi="Times New Roman" w:cs="Times New Roman"/>
              </w:rPr>
              <w:t xml:space="preserve">Treść normatywna projektu ustawy zostanie uzupełniona o </w:t>
            </w:r>
            <w:r w:rsidR="00046706" w:rsidRPr="000212FA">
              <w:rPr>
                <w:rFonts w:ascii="Times New Roman" w:hAnsi="Times New Roman" w:cs="Times New Roman"/>
              </w:rPr>
              <w:t xml:space="preserve">odpowiednią </w:t>
            </w:r>
            <w:r w:rsidRPr="000212FA">
              <w:rPr>
                <w:rFonts w:ascii="Times New Roman" w:hAnsi="Times New Roman" w:cs="Times New Roman"/>
              </w:rPr>
              <w:t xml:space="preserve">zmianę w zakresie </w:t>
            </w:r>
            <w:r w:rsidR="00E60663" w:rsidRPr="000212FA">
              <w:rPr>
                <w:rFonts w:ascii="Times New Roman" w:hAnsi="Times New Roman" w:cs="Times New Roman"/>
              </w:rPr>
              <w:t>art. 87a ust. 1 pkt 4</w:t>
            </w:r>
            <w:r w:rsidRPr="000212FA">
              <w:rPr>
                <w:rFonts w:ascii="Times New Roman" w:hAnsi="Times New Roman" w:cs="Times New Roman"/>
              </w:rPr>
              <w:t xml:space="preserve"> </w:t>
            </w:r>
            <w:r w:rsidR="00246DF4" w:rsidRPr="000212FA">
              <w:rPr>
                <w:rFonts w:ascii="Times New Roman" w:hAnsi="Times New Roman" w:cs="Times New Roman"/>
              </w:rPr>
              <w:t>lit</w:t>
            </w:r>
            <w:r w:rsidR="007B2A7E" w:rsidRPr="000212FA">
              <w:rPr>
                <w:rFonts w:ascii="Times New Roman" w:hAnsi="Times New Roman" w:cs="Times New Roman"/>
              </w:rPr>
              <w:t>.</w:t>
            </w:r>
            <w:r w:rsidR="00246DF4" w:rsidRPr="000212FA">
              <w:rPr>
                <w:rFonts w:ascii="Times New Roman" w:hAnsi="Times New Roman" w:cs="Times New Roman"/>
              </w:rPr>
              <w:t xml:space="preserve"> b </w:t>
            </w:r>
            <w:r w:rsidRPr="000212FA">
              <w:rPr>
                <w:rFonts w:ascii="Times New Roman" w:hAnsi="Times New Roman" w:cs="Times New Roman"/>
              </w:rPr>
              <w:t>ustawy z dnia 27 sierpnia 2004 r. o świadczeniach opieki zdrowotnej finansowanych ze środków publicznych</w:t>
            </w:r>
            <w:r w:rsidR="00046706" w:rsidRPr="000212FA">
              <w:rPr>
                <w:rFonts w:ascii="Times New Roman" w:hAnsi="Times New Roman" w:cs="Times New Roman"/>
              </w:rPr>
              <w:t>.</w:t>
            </w:r>
          </w:p>
        </w:tc>
      </w:tr>
      <w:tr w:rsidR="00DC0115" w:rsidRPr="000212FA" w14:paraId="4D59416D" w14:textId="77777777" w:rsidTr="003318FC">
        <w:tc>
          <w:tcPr>
            <w:tcW w:w="567" w:type="dxa"/>
          </w:tcPr>
          <w:p w14:paraId="613D02D5" w14:textId="77777777" w:rsidR="00DC0115" w:rsidRPr="000212FA" w:rsidRDefault="00DC0115" w:rsidP="003318FC">
            <w:pPr>
              <w:pStyle w:val="Akapitzlist"/>
              <w:numPr>
                <w:ilvl w:val="0"/>
                <w:numId w:val="1"/>
              </w:numPr>
              <w:spacing w:after="0" w:line="240" w:lineRule="auto"/>
              <w:ind w:left="0" w:firstLine="0"/>
              <w:jc w:val="both"/>
              <w:rPr>
                <w:rFonts w:ascii="Times New Roman" w:hAnsi="Times New Roman" w:cs="Times New Roman"/>
                <w:b/>
              </w:rPr>
            </w:pPr>
          </w:p>
        </w:tc>
        <w:tc>
          <w:tcPr>
            <w:tcW w:w="1418" w:type="dxa"/>
            <w:vAlign w:val="center"/>
          </w:tcPr>
          <w:p w14:paraId="7CA2917F" w14:textId="5EF6112D" w:rsidR="00DC0115" w:rsidRPr="000212FA" w:rsidRDefault="00DC0115" w:rsidP="003318FC">
            <w:pPr>
              <w:spacing w:after="0" w:line="240" w:lineRule="auto"/>
              <w:jc w:val="both"/>
              <w:rPr>
                <w:rFonts w:ascii="Times New Roman" w:hAnsi="Times New Roman" w:cs="Times New Roman"/>
              </w:rPr>
            </w:pPr>
            <w:r w:rsidRPr="000212FA">
              <w:rPr>
                <w:rFonts w:ascii="Times New Roman" w:hAnsi="Times New Roman" w:cs="Times New Roman"/>
              </w:rPr>
              <w:t xml:space="preserve">Uwaga ogólna </w:t>
            </w:r>
          </w:p>
        </w:tc>
        <w:tc>
          <w:tcPr>
            <w:tcW w:w="1559" w:type="dxa"/>
            <w:vAlign w:val="center"/>
          </w:tcPr>
          <w:p w14:paraId="03B4B977" w14:textId="437CA0F2" w:rsidR="00DC0115" w:rsidRPr="000212FA" w:rsidRDefault="00DC0115" w:rsidP="003318FC">
            <w:pPr>
              <w:spacing w:after="0" w:line="240" w:lineRule="auto"/>
              <w:jc w:val="both"/>
              <w:rPr>
                <w:rFonts w:ascii="Times New Roman" w:hAnsi="Times New Roman" w:cs="Times New Roman"/>
              </w:rPr>
            </w:pPr>
            <w:r w:rsidRPr="000212FA">
              <w:rPr>
                <w:rFonts w:ascii="Times New Roman" w:hAnsi="Times New Roman" w:cs="Times New Roman"/>
              </w:rPr>
              <w:t>RCL</w:t>
            </w:r>
          </w:p>
        </w:tc>
        <w:tc>
          <w:tcPr>
            <w:tcW w:w="4536" w:type="dxa"/>
          </w:tcPr>
          <w:p w14:paraId="473BB550" w14:textId="1CC08DC6" w:rsidR="00DC0115" w:rsidRPr="000212FA" w:rsidRDefault="00DC0115" w:rsidP="003318FC">
            <w:pPr>
              <w:autoSpaceDE w:val="0"/>
              <w:autoSpaceDN w:val="0"/>
              <w:adjustRightInd w:val="0"/>
              <w:spacing w:after="0" w:line="240" w:lineRule="auto"/>
              <w:jc w:val="both"/>
              <w:rPr>
                <w:rFonts w:ascii="Times New Roman" w:hAnsi="Times New Roman" w:cs="Times New Roman"/>
              </w:rPr>
            </w:pPr>
            <w:r w:rsidRPr="000212FA">
              <w:rPr>
                <w:rFonts w:ascii="Times New Roman" w:hAnsi="Times New Roman" w:cs="Times New Roman"/>
              </w:rPr>
              <w:t>Z uwagi na zakres materii projektu dotyczący zbierania, przetwarzania oraz udostępnianych danych osobowych projekt wymaga zaopiniowania przez Prezesa Urzędu Ochrony Danych Osobowych.</w:t>
            </w:r>
          </w:p>
        </w:tc>
        <w:tc>
          <w:tcPr>
            <w:tcW w:w="3402" w:type="dxa"/>
            <w:vAlign w:val="center"/>
          </w:tcPr>
          <w:p w14:paraId="58A7A8E9" w14:textId="77777777" w:rsidR="00DC0115" w:rsidRPr="000212FA" w:rsidRDefault="00DC0115" w:rsidP="003318FC">
            <w:pPr>
              <w:autoSpaceDE w:val="0"/>
              <w:autoSpaceDN w:val="0"/>
              <w:adjustRightInd w:val="0"/>
              <w:spacing w:after="0" w:line="240" w:lineRule="auto"/>
              <w:jc w:val="both"/>
              <w:rPr>
                <w:rFonts w:ascii="Times New Roman" w:hAnsi="Times New Roman" w:cs="Times New Roman"/>
                <w:color w:val="000000"/>
              </w:rPr>
            </w:pPr>
          </w:p>
        </w:tc>
        <w:tc>
          <w:tcPr>
            <w:tcW w:w="4253" w:type="dxa"/>
          </w:tcPr>
          <w:p w14:paraId="0D20A58B" w14:textId="77777777" w:rsidR="00A87F68" w:rsidRPr="000212FA" w:rsidRDefault="00A87F68" w:rsidP="003318FC">
            <w:pPr>
              <w:spacing w:after="0" w:line="240" w:lineRule="auto"/>
              <w:jc w:val="both"/>
              <w:rPr>
                <w:rFonts w:ascii="Times New Roman" w:hAnsi="Times New Roman" w:cs="Times New Roman"/>
                <w:b/>
                <w:bCs/>
              </w:rPr>
            </w:pPr>
            <w:r w:rsidRPr="000212FA">
              <w:rPr>
                <w:rFonts w:ascii="Times New Roman" w:hAnsi="Times New Roman" w:cs="Times New Roman"/>
                <w:b/>
                <w:bCs/>
              </w:rPr>
              <w:t>Uwaga uwzględniona.</w:t>
            </w:r>
          </w:p>
          <w:p w14:paraId="74723367" w14:textId="77777777" w:rsidR="00DC0115" w:rsidRPr="000212FA" w:rsidRDefault="00DC0115" w:rsidP="003318FC">
            <w:pPr>
              <w:spacing w:after="0" w:line="240" w:lineRule="auto"/>
              <w:jc w:val="both"/>
              <w:rPr>
                <w:rFonts w:ascii="Times New Roman" w:hAnsi="Times New Roman" w:cs="Times New Roman"/>
              </w:rPr>
            </w:pPr>
          </w:p>
          <w:p w14:paraId="3307CD3C" w14:textId="151B4201" w:rsidR="00A87F68" w:rsidRPr="000212FA" w:rsidRDefault="00A87F68" w:rsidP="003318FC">
            <w:pPr>
              <w:spacing w:after="0" w:line="240" w:lineRule="auto"/>
              <w:jc w:val="both"/>
              <w:rPr>
                <w:rFonts w:ascii="Times New Roman" w:hAnsi="Times New Roman" w:cs="Times New Roman"/>
              </w:rPr>
            </w:pPr>
            <w:r w:rsidRPr="000212FA">
              <w:rPr>
                <w:rFonts w:ascii="Times New Roman" w:hAnsi="Times New Roman" w:cs="Times New Roman"/>
              </w:rPr>
              <w:t>Projekt ustawy został przekazany do zaopiniowania przez Prezesa Urzędu Ochrony Danych Osobowych.</w:t>
            </w:r>
          </w:p>
        </w:tc>
      </w:tr>
      <w:tr w:rsidR="00DC0115" w:rsidRPr="000212FA" w14:paraId="4B79E077" w14:textId="77777777" w:rsidTr="003318FC">
        <w:tc>
          <w:tcPr>
            <w:tcW w:w="567" w:type="dxa"/>
          </w:tcPr>
          <w:p w14:paraId="68B8444B" w14:textId="77777777" w:rsidR="00DC0115" w:rsidRPr="000212FA" w:rsidRDefault="00DC0115" w:rsidP="003318FC">
            <w:pPr>
              <w:pStyle w:val="Akapitzlist"/>
              <w:numPr>
                <w:ilvl w:val="0"/>
                <w:numId w:val="1"/>
              </w:numPr>
              <w:spacing w:after="0" w:line="240" w:lineRule="auto"/>
              <w:ind w:left="0" w:firstLine="0"/>
              <w:jc w:val="both"/>
              <w:rPr>
                <w:rFonts w:ascii="Times New Roman" w:hAnsi="Times New Roman" w:cs="Times New Roman"/>
                <w:b/>
              </w:rPr>
            </w:pPr>
          </w:p>
        </w:tc>
        <w:tc>
          <w:tcPr>
            <w:tcW w:w="1418" w:type="dxa"/>
            <w:vAlign w:val="center"/>
          </w:tcPr>
          <w:p w14:paraId="0020D4C1" w14:textId="497D6AF8" w:rsidR="00DC0115" w:rsidRPr="000212FA" w:rsidRDefault="00DC0115" w:rsidP="003318FC">
            <w:pPr>
              <w:spacing w:after="0" w:line="240" w:lineRule="auto"/>
              <w:jc w:val="both"/>
              <w:rPr>
                <w:rFonts w:ascii="Times New Roman" w:hAnsi="Times New Roman" w:cs="Times New Roman"/>
              </w:rPr>
            </w:pPr>
            <w:r w:rsidRPr="000212FA">
              <w:rPr>
                <w:rFonts w:ascii="Times New Roman" w:hAnsi="Times New Roman" w:cs="Times New Roman"/>
              </w:rPr>
              <w:t>Uwaga ogólna</w:t>
            </w:r>
          </w:p>
        </w:tc>
        <w:tc>
          <w:tcPr>
            <w:tcW w:w="1559" w:type="dxa"/>
            <w:vAlign w:val="center"/>
          </w:tcPr>
          <w:p w14:paraId="068EABFC" w14:textId="6807C91E" w:rsidR="00DC0115" w:rsidRPr="000212FA" w:rsidRDefault="00DC0115" w:rsidP="003318FC">
            <w:pPr>
              <w:spacing w:after="0" w:line="240" w:lineRule="auto"/>
              <w:jc w:val="both"/>
              <w:rPr>
                <w:rFonts w:ascii="Times New Roman" w:hAnsi="Times New Roman" w:cs="Times New Roman"/>
              </w:rPr>
            </w:pPr>
            <w:r w:rsidRPr="000212FA">
              <w:rPr>
                <w:rFonts w:ascii="Times New Roman" w:hAnsi="Times New Roman" w:cs="Times New Roman"/>
              </w:rPr>
              <w:t>RCL</w:t>
            </w:r>
          </w:p>
        </w:tc>
        <w:tc>
          <w:tcPr>
            <w:tcW w:w="4536" w:type="dxa"/>
          </w:tcPr>
          <w:p w14:paraId="2A689B0C" w14:textId="65977D32" w:rsidR="00DC0115" w:rsidRPr="000212FA" w:rsidRDefault="00DC0115" w:rsidP="003318FC">
            <w:pPr>
              <w:autoSpaceDE w:val="0"/>
              <w:autoSpaceDN w:val="0"/>
              <w:adjustRightInd w:val="0"/>
              <w:spacing w:after="0" w:line="240" w:lineRule="auto"/>
              <w:jc w:val="both"/>
              <w:rPr>
                <w:rFonts w:ascii="Times New Roman" w:hAnsi="Times New Roman" w:cs="Times New Roman"/>
              </w:rPr>
            </w:pPr>
            <w:r w:rsidRPr="000212FA">
              <w:rPr>
                <w:rFonts w:ascii="Times New Roman" w:hAnsi="Times New Roman" w:cs="Times New Roman"/>
              </w:rPr>
              <w:t>Ponadto wskazania wymaga, że zakres przedmiotowy projektu ustawy dotyczy spraw rozpatrywanych przez Komitet Rady Ministrów do Spraw Cyfryzacji (szereg regulacji w zakresie systemów teleinformatycznych i rejestrów).</w:t>
            </w:r>
          </w:p>
        </w:tc>
        <w:tc>
          <w:tcPr>
            <w:tcW w:w="3402" w:type="dxa"/>
            <w:vAlign w:val="center"/>
          </w:tcPr>
          <w:p w14:paraId="0A10DB90" w14:textId="77777777" w:rsidR="00DC0115" w:rsidRPr="000212FA" w:rsidRDefault="00DC0115" w:rsidP="003318FC">
            <w:pPr>
              <w:autoSpaceDE w:val="0"/>
              <w:autoSpaceDN w:val="0"/>
              <w:adjustRightInd w:val="0"/>
              <w:spacing w:after="0" w:line="240" w:lineRule="auto"/>
              <w:jc w:val="both"/>
              <w:rPr>
                <w:rFonts w:ascii="Times New Roman" w:hAnsi="Times New Roman" w:cs="Times New Roman"/>
                <w:color w:val="000000"/>
              </w:rPr>
            </w:pPr>
          </w:p>
        </w:tc>
        <w:tc>
          <w:tcPr>
            <w:tcW w:w="4253" w:type="dxa"/>
          </w:tcPr>
          <w:p w14:paraId="39CEF1AA" w14:textId="22ACCEF9" w:rsidR="00EC488E" w:rsidRPr="000212FA" w:rsidRDefault="00EC488E" w:rsidP="003318FC">
            <w:pPr>
              <w:spacing w:after="0" w:line="240" w:lineRule="auto"/>
              <w:jc w:val="both"/>
              <w:rPr>
                <w:rFonts w:ascii="Times New Roman" w:hAnsi="Times New Roman" w:cs="Times New Roman"/>
                <w:b/>
                <w:bCs/>
              </w:rPr>
            </w:pPr>
            <w:r w:rsidRPr="000212FA">
              <w:rPr>
                <w:rFonts w:ascii="Times New Roman" w:hAnsi="Times New Roman" w:cs="Times New Roman"/>
                <w:b/>
                <w:bCs/>
              </w:rPr>
              <w:t>Uwaga uwzględniona.</w:t>
            </w:r>
          </w:p>
          <w:p w14:paraId="5A8CD9B5" w14:textId="77777777" w:rsidR="00B11711" w:rsidRPr="000212FA" w:rsidRDefault="00B11711" w:rsidP="003318FC">
            <w:pPr>
              <w:spacing w:after="0" w:line="240" w:lineRule="auto"/>
              <w:jc w:val="both"/>
              <w:rPr>
                <w:rFonts w:ascii="Times New Roman" w:hAnsi="Times New Roman" w:cs="Times New Roman"/>
                <w:b/>
                <w:bCs/>
              </w:rPr>
            </w:pPr>
          </w:p>
          <w:p w14:paraId="249BCA4E" w14:textId="3426A34A" w:rsidR="00EC488E" w:rsidRPr="000212FA" w:rsidRDefault="00EC488E" w:rsidP="003318FC">
            <w:pPr>
              <w:spacing w:after="0" w:line="240" w:lineRule="auto"/>
              <w:jc w:val="both"/>
              <w:rPr>
                <w:rFonts w:ascii="Times New Roman" w:hAnsi="Times New Roman" w:cs="Times New Roman"/>
              </w:rPr>
            </w:pPr>
            <w:r w:rsidRPr="000212FA">
              <w:rPr>
                <w:rFonts w:ascii="Times New Roman" w:hAnsi="Times New Roman" w:cs="Times New Roman"/>
              </w:rPr>
              <w:t>Projekt ustawy zostanie skierowany do rozpatrzenia przez Komitet Rady Ministrów do Spraw Cyfryzacji.</w:t>
            </w:r>
          </w:p>
          <w:p w14:paraId="43C3D973" w14:textId="4B40876B" w:rsidR="009171C8" w:rsidRPr="000212FA" w:rsidRDefault="009171C8" w:rsidP="003318FC">
            <w:pPr>
              <w:spacing w:after="0" w:line="240" w:lineRule="auto"/>
              <w:jc w:val="both"/>
              <w:rPr>
                <w:rFonts w:ascii="Times New Roman" w:hAnsi="Times New Roman" w:cs="Times New Roman"/>
              </w:rPr>
            </w:pPr>
          </w:p>
        </w:tc>
      </w:tr>
      <w:tr w:rsidR="006E7402" w:rsidRPr="000212FA" w14:paraId="0B6A69CE" w14:textId="77777777" w:rsidTr="003318FC">
        <w:tc>
          <w:tcPr>
            <w:tcW w:w="567" w:type="dxa"/>
          </w:tcPr>
          <w:p w14:paraId="51AE7562" w14:textId="77777777" w:rsidR="006E7402" w:rsidRPr="000212FA" w:rsidRDefault="006E7402" w:rsidP="003318FC">
            <w:pPr>
              <w:pStyle w:val="Akapitzlist"/>
              <w:numPr>
                <w:ilvl w:val="0"/>
                <w:numId w:val="1"/>
              </w:numPr>
              <w:spacing w:after="0" w:line="240" w:lineRule="auto"/>
              <w:ind w:left="0" w:firstLine="0"/>
              <w:jc w:val="both"/>
              <w:rPr>
                <w:rFonts w:ascii="Times New Roman" w:hAnsi="Times New Roman" w:cs="Times New Roman"/>
                <w:b/>
              </w:rPr>
            </w:pPr>
          </w:p>
        </w:tc>
        <w:tc>
          <w:tcPr>
            <w:tcW w:w="1418" w:type="dxa"/>
            <w:vAlign w:val="center"/>
          </w:tcPr>
          <w:p w14:paraId="2CDA14B5" w14:textId="14560938" w:rsidR="006E7402" w:rsidRPr="000212FA" w:rsidRDefault="006E7402" w:rsidP="003318FC">
            <w:pPr>
              <w:spacing w:after="0" w:line="240" w:lineRule="auto"/>
              <w:jc w:val="both"/>
              <w:rPr>
                <w:rFonts w:ascii="Times New Roman" w:hAnsi="Times New Roman" w:cs="Times New Roman"/>
              </w:rPr>
            </w:pPr>
            <w:r w:rsidRPr="000212FA">
              <w:rPr>
                <w:rFonts w:ascii="Times New Roman" w:hAnsi="Times New Roman" w:cs="Times New Roman"/>
              </w:rPr>
              <w:t>Uwaga ogólna</w:t>
            </w:r>
          </w:p>
        </w:tc>
        <w:tc>
          <w:tcPr>
            <w:tcW w:w="1559" w:type="dxa"/>
            <w:vAlign w:val="center"/>
          </w:tcPr>
          <w:p w14:paraId="45593101" w14:textId="44F64708" w:rsidR="006E7402" w:rsidRPr="000212FA" w:rsidRDefault="006E7402" w:rsidP="003318FC">
            <w:pPr>
              <w:spacing w:after="0" w:line="240" w:lineRule="auto"/>
              <w:jc w:val="both"/>
              <w:rPr>
                <w:rFonts w:ascii="Times New Roman" w:hAnsi="Times New Roman" w:cs="Times New Roman"/>
              </w:rPr>
            </w:pPr>
            <w:r w:rsidRPr="000212FA">
              <w:rPr>
                <w:rFonts w:ascii="Times New Roman" w:hAnsi="Times New Roman" w:cs="Times New Roman"/>
              </w:rPr>
              <w:t>MS</w:t>
            </w:r>
          </w:p>
        </w:tc>
        <w:tc>
          <w:tcPr>
            <w:tcW w:w="4536" w:type="dxa"/>
          </w:tcPr>
          <w:p w14:paraId="3537979D" w14:textId="77777777" w:rsidR="00C80E3D" w:rsidRPr="000212FA" w:rsidRDefault="006E7402" w:rsidP="003318FC">
            <w:pPr>
              <w:autoSpaceDE w:val="0"/>
              <w:autoSpaceDN w:val="0"/>
              <w:adjustRightInd w:val="0"/>
              <w:spacing w:after="0" w:line="240" w:lineRule="auto"/>
              <w:jc w:val="both"/>
              <w:rPr>
                <w:rFonts w:ascii="Times New Roman" w:hAnsi="Times New Roman" w:cs="Times New Roman"/>
              </w:rPr>
            </w:pPr>
            <w:r w:rsidRPr="000212FA">
              <w:rPr>
                <w:rFonts w:ascii="Times New Roman" w:hAnsi="Times New Roman" w:cs="Times New Roman"/>
              </w:rPr>
              <w:t>Wątpliwości budzi projektowane wprowadzenie jednoosobowego orzekania w instancji odwoławczej. Projekt ustawy zmienia model organizacyjno-proceduralnego orzecznictwa lekarskiego, poprzez wprowadzenie jednoosobowego wydawania orzeczenia na wszystkich szczeblach. Obecnie w II instancji orzekają trzyosobowe komisje lekarski</w:t>
            </w:r>
            <w:r w:rsidR="00C80E3D" w:rsidRPr="000212FA">
              <w:rPr>
                <w:rFonts w:ascii="Times New Roman" w:hAnsi="Times New Roman" w:cs="Times New Roman"/>
              </w:rPr>
              <w:t>e</w:t>
            </w:r>
            <w:r w:rsidRPr="000212FA">
              <w:rPr>
                <w:rFonts w:ascii="Times New Roman" w:hAnsi="Times New Roman" w:cs="Times New Roman"/>
              </w:rPr>
              <w:t xml:space="preserve">. Nowe przepisy zakładają wydawanie orzeczenia w trybie odwoławczym jednoosobowo przez lekarza orzecznika. Rezygnacja z kolegialności orzekania w drugiej instancji nie stanowi pozytywnej zmiany na rzecz osób objętych ubezpieczeniem społecznym. Orzeczenia wydane </w:t>
            </w:r>
            <w:r w:rsidRPr="000212FA">
              <w:rPr>
                <w:rFonts w:ascii="Times New Roman" w:hAnsi="Times New Roman" w:cs="Times New Roman"/>
              </w:rPr>
              <w:lastRenderedPageBreak/>
              <w:t xml:space="preserve">kolegialnie stanowią wynik analizy różnych doświadczeń zawodowych, wiedzy, dyskusji i spojrzeń na te same kwestie, co zapewnia głębszą kontrolą i wyższy standard orzeczniczy. Zróżnicowanie doświadczenia zawodowego członków organu kolegialnego ogranicza popełnianie błędów i eliminuje arbitralność oceny. </w:t>
            </w:r>
          </w:p>
          <w:p w14:paraId="09B9D79F" w14:textId="561315C9" w:rsidR="006E7402" w:rsidRPr="000212FA" w:rsidRDefault="006E7402" w:rsidP="003318FC">
            <w:pPr>
              <w:autoSpaceDE w:val="0"/>
              <w:autoSpaceDN w:val="0"/>
              <w:adjustRightInd w:val="0"/>
              <w:spacing w:after="0" w:line="240" w:lineRule="auto"/>
              <w:jc w:val="both"/>
              <w:rPr>
                <w:rFonts w:ascii="Times New Roman" w:hAnsi="Times New Roman" w:cs="Times New Roman"/>
              </w:rPr>
            </w:pPr>
            <w:r w:rsidRPr="000212FA">
              <w:rPr>
                <w:rFonts w:ascii="Times New Roman" w:hAnsi="Times New Roman" w:cs="Times New Roman"/>
              </w:rPr>
              <w:t>Nie można podzielić optymizmu projektodawcy, który utrzymuje, że proponowane mechanizmy kontrolne (kontrola przez głównego lekarza orzecznika zastępcą głównego lekarza orzecznika i lekarzy inspektorów nadzoru orzeczniczego) zapewnią właściwą jakość orzeczeń. Ilość wydawanych w ZUS orzeczeń powoduje, że tego rodzaju kontrola nie będzie wydolna, a wręcz może okazać się iluzoryczna.</w:t>
            </w:r>
          </w:p>
        </w:tc>
        <w:tc>
          <w:tcPr>
            <w:tcW w:w="3402" w:type="dxa"/>
            <w:vAlign w:val="center"/>
          </w:tcPr>
          <w:p w14:paraId="3991A396" w14:textId="77777777" w:rsidR="006E7402" w:rsidRPr="000212FA" w:rsidRDefault="006E7402" w:rsidP="003318FC">
            <w:pPr>
              <w:spacing w:after="0" w:line="240" w:lineRule="auto"/>
              <w:jc w:val="both"/>
              <w:rPr>
                <w:rFonts w:ascii="Times New Roman" w:hAnsi="Times New Roman" w:cs="Times New Roman"/>
              </w:rPr>
            </w:pPr>
          </w:p>
        </w:tc>
        <w:tc>
          <w:tcPr>
            <w:tcW w:w="4253" w:type="dxa"/>
          </w:tcPr>
          <w:p w14:paraId="5F00B1EA" w14:textId="42689A2F" w:rsidR="009D7043" w:rsidRPr="000212FA" w:rsidRDefault="009D7043" w:rsidP="003318FC">
            <w:pPr>
              <w:spacing w:after="0" w:line="240" w:lineRule="auto"/>
              <w:jc w:val="both"/>
              <w:rPr>
                <w:rFonts w:ascii="Times New Roman" w:hAnsi="Times New Roman" w:cs="Times New Roman"/>
                <w:b/>
                <w:bCs/>
              </w:rPr>
            </w:pPr>
            <w:r w:rsidRPr="000212FA">
              <w:rPr>
                <w:rFonts w:ascii="Times New Roman" w:hAnsi="Times New Roman" w:cs="Times New Roman"/>
                <w:b/>
                <w:bCs/>
              </w:rPr>
              <w:t xml:space="preserve">Uwaga </w:t>
            </w:r>
            <w:r w:rsidR="00A17606" w:rsidRPr="000212FA">
              <w:rPr>
                <w:rFonts w:ascii="Times New Roman" w:hAnsi="Times New Roman" w:cs="Times New Roman"/>
                <w:b/>
                <w:bCs/>
              </w:rPr>
              <w:t>wyjaśniona</w:t>
            </w:r>
            <w:r w:rsidRPr="000212FA">
              <w:rPr>
                <w:rFonts w:ascii="Times New Roman" w:hAnsi="Times New Roman" w:cs="Times New Roman"/>
                <w:b/>
                <w:bCs/>
              </w:rPr>
              <w:t>.</w:t>
            </w:r>
          </w:p>
          <w:p w14:paraId="453DE6D4" w14:textId="77777777" w:rsidR="009D7043" w:rsidRPr="000212FA" w:rsidRDefault="009D7043" w:rsidP="003318FC">
            <w:pPr>
              <w:spacing w:after="0" w:line="240" w:lineRule="auto"/>
              <w:jc w:val="both"/>
              <w:rPr>
                <w:rFonts w:ascii="Times New Roman" w:hAnsi="Times New Roman" w:cs="Times New Roman"/>
              </w:rPr>
            </w:pPr>
          </w:p>
          <w:p w14:paraId="6DC01F01" w14:textId="7384E0BA" w:rsidR="00777A74" w:rsidRPr="000212FA" w:rsidRDefault="009D7043" w:rsidP="003318FC">
            <w:pPr>
              <w:autoSpaceDE w:val="0"/>
              <w:autoSpaceDN w:val="0"/>
              <w:adjustRightInd w:val="0"/>
              <w:spacing w:after="120" w:line="240" w:lineRule="auto"/>
              <w:jc w:val="both"/>
              <w:rPr>
                <w:rFonts w:ascii="Times New Roman" w:hAnsi="Times New Roman" w:cs="Times New Roman"/>
              </w:rPr>
            </w:pPr>
            <w:r w:rsidRPr="000212FA">
              <w:rPr>
                <w:rFonts w:ascii="Times New Roman" w:hAnsi="Times New Roman" w:cs="Times New Roman"/>
              </w:rPr>
              <w:t>Przyjęta w projekcie ustawy koncepcja jednoosobowego rozpoznawania spraw orzeczniczych w II instancji</w:t>
            </w:r>
            <w:r w:rsidR="00FF40E4" w:rsidRPr="000212FA">
              <w:rPr>
                <w:rFonts w:ascii="Times New Roman" w:hAnsi="Times New Roman" w:cs="Times New Roman"/>
              </w:rPr>
              <w:t xml:space="preserve">, która stanowi fundament reformy orzecznictwa, </w:t>
            </w:r>
            <w:r w:rsidR="007B543E" w:rsidRPr="000212FA">
              <w:rPr>
                <w:rFonts w:ascii="Times New Roman" w:hAnsi="Times New Roman" w:cs="Times New Roman"/>
              </w:rPr>
              <w:t xml:space="preserve">będzie w praktyce </w:t>
            </w:r>
            <w:r w:rsidRPr="000212FA">
              <w:rPr>
                <w:rFonts w:ascii="Times New Roman" w:hAnsi="Times New Roman" w:cs="Times New Roman"/>
              </w:rPr>
              <w:t xml:space="preserve">równoważona </w:t>
            </w:r>
            <w:r w:rsidR="007B543E" w:rsidRPr="000212FA">
              <w:rPr>
                <w:rFonts w:ascii="Times New Roman" w:hAnsi="Times New Roman" w:cs="Times New Roman"/>
              </w:rPr>
              <w:t>poprzez każdorazowe dostosowanie profilu specjalizacji lekarza orzekającego do wiodącego schorzenia lub urazu osoby badanej.</w:t>
            </w:r>
            <w:r w:rsidR="00777A74" w:rsidRPr="000212FA">
              <w:rPr>
                <w:rFonts w:ascii="Times New Roman" w:hAnsi="Times New Roman" w:cs="Times New Roman"/>
              </w:rPr>
              <w:t xml:space="preserve"> Aktualnie, co potwierdzają liczne skargi obywateli, pomimo kolegialności składu komisji lekarskiej, nie zapewnia ona udziału w wydawaniu </w:t>
            </w:r>
            <w:r w:rsidR="00777A74" w:rsidRPr="000212FA">
              <w:rPr>
                <w:rFonts w:ascii="Times New Roman" w:hAnsi="Times New Roman" w:cs="Times New Roman"/>
              </w:rPr>
              <w:lastRenderedPageBreak/>
              <w:t>orzeczenia przez specjalistów z odpowiedniej dziedziny.</w:t>
            </w:r>
          </w:p>
          <w:p w14:paraId="5D551B4F" w14:textId="6A245F91" w:rsidR="00576DD1" w:rsidRPr="000212FA" w:rsidRDefault="000E3273" w:rsidP="003318FC">
            <w:pPr>
              <w:autoSpaceDE w:val="0"/>
              <w:autoSpaceDN w:val="0"/>
              <w:adjustRightInd w:val="0"/>
              <w:spacing w:after="120" w:line="240" w:lineRule="auto"/>
              <w:jc w:val="both"/>
              <w:rPr>
                <w:rFonts w:ascii="Times New Roman" w:hAnsi="Times New Roman" w:cs="Times New Roman"/>
              </w:rPr>
            </w:pPr>
            <w:r w:rsidRPr="000212FA">
              <w:rPr>
                <w:rFonts w:ascii="Times New Roman" w:hAnsi="Times New Roman" w:cs="Times New Roman"/>
              </w:rPr>
              <w:t xml:space="preserve">W każdym przypadku, gdy zgromadzona w sprawie dokumentacja medyczna nie </w:t>
            </w:r>
            <w:r w:rsidR="000017A0" w:rsidRPr="000212FA">
              <w:rPr>
                <w:rFonts w:ascii="Times New Roman" w:hAnsi="Times New Roman" w:cs="Times New Roman"/>
              </w:rPr>
              <w:t>będzie</w:t>
            </w:r>
            <w:r w:rsidRPr="000212FA">
              <w:rPr>
                <w:rFonts w:ascii="Times New Roman" w:hAnsi="Times New Roman" w:cs="Times New Roman"/>
              </w:rPr>
              <w:t xml:space="preserve"> wystarczająca do wydania orzeczenia</w:t>
            </w:r>
            <w:r w:rsidR="000017A0" w:rsidRPr="000212FA">
              <w:rPr>
                <w:rFonts w:ascii="Times New Roman" w:hAnsi="Times New Roman" w:cs="Times New Roman"/>
              </w:rPr>
              <w:t>, tak jak dotychczas będzie możliwość z</w:t>
            </w:r>
            <w:r w:rsidRPr="000212FA">
              <w:rPr>
                <w:rFonts w:ascii="Times New Roman" w:hAnsi="Times New Roman" w:cs="Times New Roman"/>
              </w:rPr>
              <w:t>lec</w:t>
            </w:r>
            <w:r w:rsidR="000017A0" w:rsidRPr="000212FA">
              <w:rPr>
                <w:rFonts w:ascii="Times New Roman" w:hAnsi="Times New Roman" w:cs="Times New Roman"/>
              </w:rPr>
              <w:t>e</w:t>
            </w:r>
            <w:r w:rsidRPr="000212FA">
              <w:rPr>
                <w:rFonts w:ascii="Times New Roman" w:hAnsi="Times New Roman" w:cs="Times New Roman"/>
              </w:rPr>
              <w:t>n</w:t>
            </w:r>
            <w:r w:rsidR="000017A0" w:rsidRPr="000212FA">
              <w:rPr>
                <w:rFonts w:ascii="Times New Roman" w:hAnsi="Times New Roman" w:cs="Times New Roman"/>
              </w:rPr>
              <w:t>ia</w:t>
            </w:r>
            <w:r w:rsidRPr="000212FA">
              <w:rPr>
                <w:rFonts w:ascii="Times New Roman" w:hAnsi="Times New Roman" w:cs="Times New Roman"/>
              </w:rPr>
              <w:t xml:space="preserve"> konsultacj</w:t>
            </w:r>
            <w:r w:rsidR="000017A0" w:rsidRPr="000212FA">
              <w:rPr>
                <w:rFonts w:ascii="Times New Roman" w:hAnsi="Times New Roman" w:cs="Times New Roman"/>
              </w:rPr>
              <w:t>i</w:t>
            </w:r>
            <w:r w:rsidRPr="000212FA">
              <w:rPr>
                <w:rFonts w:ascii="Times New Roman" w:hAnsi="Times New Roman" w:cs="Times New Roman"/>
              </w:rPr>
              <w:t xml:space="preserve"> specjalistyczn</w:t>
            </w:r>
            <w:r w:rsidR="000017A0" w:rsidRPr="000212FA">
              <w:rPr>
                <w:rFonts w:ascii="Times New Roman" w:hAnsi="Times New Roman" w:cs="Times New Roman"/>
              </w:rPr>
              <w:t xml:space="preserve">ych, badań dodatkowych lub </w:t>
            </w:r>
            <w:r w:rsidRPr="000212FA">
              <w:rPr>
                <w:rFonts w:ascii="Times New Roman" w:hAnsi="Times New Roman" w:cs="Times New Roman"/>
              </w:rPr>
              <w:t>obserwacj</w:t>
            </w:r>
            <w:r w:rsidR="000017A0" w:rsidRPr="000212FA">
              <w:rPr>
                <w:rFonts w:ascii="Times New Roman" w:hAnsi="Times New Roman" w:cs="Times New Roman"/>
              </w:rPr>
              <w:t>i</w:t>
            </w:r>
            <w:r w:rsidRPr="000212FA">
              <w:rPr>
                <w:rFonts w:ascii="Times New Roman" w:hAnsi="Times New Roman" w:cs="Times New Roman"/>
              </w:rPr>
              <w:t xml:space="preserve"> szpitalne</w:t>
            </w:r>
            <w:r w:rsidR="000017A0" w:rsidRPr="000212FA">
              <w:rPr>
                <w:rFonts w:ascii="Times New Roman" w:hAnsi="Times New Roman" w:cs="Times New Roman"/>
              </w:rPr>
              <w:t xml:space="preserve">j. </w:t>
            </w:r>
            <w:r w:rsidR="0003605B" w:rsidRPr="000212FA">
              <w:rPr>
                <w:rFonts w:ascii="Times New Roman" w:hAnsi="Times New Roman" w:cs="Times New Roman"/>
              </w:rPr>
              <w:t xml:space="preserve">Zatrudniani przez </w:t>
            </w:r>
            <w:r w:rsidR="000017A0" w:rsidRPr="000212FA">
              <w:rPr>
                <w:rFonts w:ascii="Times New Roman" w:hAnsi="Times New Roman" w:cs="Times New Roman"/>
              </w:rPr>
              <w:t xml:space="preserve">ZUS </w:t>
            </w:r>
            <w:r w:rsidR="0003605B" w:rsidRPr="000212FA">
              <w:rPr>
                <w:rFonts w:ascii="Times New Roman" w:hAnsi="Times New Roman" w:cs="Times New Roman"/>
              </w:rPr>
              <w:t>lekarze</w:t>
            </w:r>
            <w:r w:rsidR="000017A0" w:rsidRPr="000212FA">
              <w:rPr>
                <w:rFonts w:ascii="Times New Roman" w:hAnsi="Times New Roman" w:cs="Times New Roman"/>
              </w:rPr>
              <w:t xml:space="preserve"> </w:t>
            </w:r>
            <w:r w:rsidR="00FF40E4" w:rsidRPr="000212FA">
              <w:rPr>
                <w:rFonts w:ascii="Times New Roman" w:hAnsi="Times New Roman" w:cs="Times New Roman"/>
              </w:rPr>
              <w:t xml:space="preserve">orzecznicy dysponują </w:t>
            </w:r>
            <w:r w:rsidR="009D7043" w:rsidRPr="000212FA">
              <w:rPr>
                <w:rFonts w:ascii="Times New Roman" w:hAnsi="Times New Roman" w:cs="Times New Roman"/>
              </w:rPr>
              <w:t>wystarczający</w:t>
            </w:r>
            <w:r w:rsidR="00FF40E4" w:rsidRPr="000212FA">
              <w:rPr>
                <w:rFonts w:ascii="Times New Roman" w:hAnsi="Times New Roman" w:cs="Times New Roman"/>
              </w:rPr>
              <w:t>mi kompetencjami, wi</w:t>
            </w:r>
            <w:r w:rsidR="000017A0" w:rsidRPr="000212FA">
              <w:rPr>
                <w:rFonts w:ascii="Times New Roman" w:hAnsi="Times New Roman" w:cs="Times New Roman"/>
              </w:rPr>
              <w:t>e</w:t>
            </w:r>
            <w:r w:rsidR="00FF40E4" w:rsidRPr="000212FA">
              <w:rPr>
                <w:rFonts w:ascii="Times New Roman" w:hAnsi="Times New Roman" w:cs="Times New Roman"/>
              </w:rPr>
              <w:t xml:space="preserve">dzą </w:t>
            </w:r>
            <w:r w:rsidR="00FF40E4" w:rsidRPr="000212FA">
              <w:rPr>
                <w:rFonts w:ascii="Times New Roman" w:hAnsi="Times New Roman" w:cs="Times New Roman"/>
              </w:rPr>
              <w:br/>
              <w:t xml:space="preserve">i doświadczeniem, aby zagwarantować pożądaną jakość wydawanych orzeczeń. </w:t>
            </w:r>
            <w:r w:rsidR="00576DD1" w:rsidRPr="000212FA">
              <w:rPr>
                <w:rFonts w:ascii="Times New Roman" w:hAnsi="Times New Roman" w:cs="Times New Roman"/>
              </w:rPr>
              <w:t>Weryfikacja spełniania oczekiwanych standardów jakości wydawanych orzeczeń będzie realizowana w ramach proponowanych mechanizmów kontrolnych</w:t>
            </w:r>
            <w:r w:rsidR="00470D64" w:rsidRPr="000212FA">
              <w:rPr>
                <w:rFonts w:ascii="Times New Roman" w:hAnsi="Times New Roman" w:cs="Times New Roman"/>
              </w:rPr>
              <w:t>, tj. już po wydaniu orzeczenia główny lekarz orzecznik albo jego zastępca będzie analizował ustalenia dokonane w orzeczeniu, pod względem merytorycznym i formalnym, a w przypadku stwierdzenia nieprawidłowości – będzie mógł zgłosić zarzut wadliwości orzeczenia i skierować sprawę do ponownego rozpatrzenia przez lekarza orzecznika. K</w:t>
            </w:r>
            <w:r w:rsidR="00576DD1" w:rsidRPr="000212FA">
              <w:rPr>
                <w:rFonts w:ascii="Times New Roman" w:hAnsi="Times New Roman" w:cs="Times New Roman"/>
              </w:rPr>
              <w:t xml:space="preserve">luczowa w tym zakresie będzie </w:t>
            </w:r>
            <w:r w:rsidR="00470D64" w:rsidRPr="000212FA">
              <w:rPr>
                <w:rFonts w:ascii="Times New Roman" w:hAnsi="Times New Roman" w:cs="Times New Roman"/>
              </w:rPr>
              <w:t>jednak</w:t>
            </w:r>
            <w:r w:rsidR="00243612" w:rsidRPr="000212FA">
              <w:rPr>
                <w:rFonts w:ascii="Times New Roman" w:hAnsi="Times New Roman" w:cs="Times New Roman"/>
              </w:rPr>
              <w:t>że</w:t>
            </w:r>
            <w:r w:rsidR="00470D64" w:rsidRPr="000212FA">
              <w:rPr>
                <w:rFonts w:ascii="Times New Roman" w:hAnsi="Times New Roman" w:cs="Times New Roman"/>
              </w:rPr>
              <w:t xml:space="preserve"> </w:t>
            </w:r>
            <w:r w:rsidR="00576DD1" w:rsidRPr="000212FA">
              <w:rPr>
                <w:rFonts w:ascii="Times New Roman" w:hAnsi="Times New Roman" w:cs="Times New Roman"/>
              </w:rPr>
              <w:t>kontrola tych orzeczeń w toku sądowego postępowania odwoławczego.</w:t>
            </w:r>
          </w:p>
          <w:p w14:paraId="3D6DD6BF" w14:textId="0696990C" w:rsidR="009D7043" w:rsidRPr="000212FA" w:rsidRDefault="00FF40E4" w:rsidP="003318FC">
            <w:pPr>
              <w:autoSpaceDE w:val="0"/>
              <w:autoSpaceDN w:val="0"/>
              <w:adjustRightInd w:val="0"/>
              <w:spacing w:after="120" w:line="240" w:lineRule="auto"/>
              <w:jc w:val="both"/>
              <w:rPr>
                <w:rFonts w:ascii="Times New Roman" w:hAnsi="Times New Roman" w:cs="Times New Roman"/>
              </w:rPr>
            </w:pPr>
            <w:r w:rsidRPr="000212FA">
              <w:rPr>
                <w:rFonts w:ascii="Times New Roman" w:hAnsi="Times New Roman" w:cs="Times New Roman"/>
              </w:rPr>
              <w:t xml:space="preserve">Nadmienić należy, że </w:t>
            </w:r>
            <w:r w:rsidR="009D7043" w:rsidRPr="000212FA">
              <w:rPr>
                <w:rFonts w:ascii="Times New Roman" w:hAnsi="Times New Roman" w:cs="Times New Roman"/>
              </w:rPr>
              <w:t xml:space="preserve">również </w:t>
            </w:r>
            <w:r w:rsidRPr="000212FA">
              <w:rPr>
                <w:rFonts w:ascii="Times New Roman" w:hAnsi="Times New Roman" w:cs="Times New Roman"/>
              </w:rPr>
              <w:br/>
            </w:r>
            <w:r w:rsidR="009D7043" w:rsidRPr="000212FA">
              <w:rPr>
                <w:rFonts w:ascii="Times New Roman" w:hAnsi="Times New Roman" w:cs="Times New Roman"/>
              </w:rPr>
              <w:t xml:space="preserve">w sądownictwie wyraźnie zaznacza się tendencja do odchodzenia od orzekania w składach 3-osobowych, a przyczyny, które temu przyświecają, w swej istocie są tożsame z tymi, które uwzględniało Ministerstwo </w:t>
            </w:r>
            <w:r w:rsidR="009D7043" w:rsidRPr="000212FA">
              <w:rPr>
                <w:rFonts w:ascii="Times New Roman" w:hAnsi="Times New Roman" w:cs="Times New Roman"/>
              </w:rPr>
              <w:lastRenderedPageBreak/>
              <w:t>pracując nad koncepcją zmian w obszarze orzecznictwa lekarskiego.</w:t>
            </w:r>
          </w:p>
          <w:p w14:paraId="233D8D82" w14:textId="62980732" w:rsidR="009171C8" w:rsidRPr="000212FA" w:rsidRDefault="009171C8" w:rsidP="003318FC">
            <w:pPr>
              <w:spacing w:after="0" w:line="240" w:lineRule="auto"/>
              <w:jc w:val="both"/>
              <w:rPr>
                <w:rFonts w:ascii="Times New Roman" w:hAnsi="Times New Roman" w:cs="Times New Roman"/>
              </w:rPr>
            </w:pPr>
          </w:p>
        </w:tc>
      </w:tr>
      <w:tr w:rsidR="00F0743A" w:rsidRPr="000212FA" w14:paraId="01A9AB2B" w14:textId="77777777" w:rsidTr="003318FC">
        <w:tc>
          <w:tcPr>
            <w:tcW w:w="567" w:type="dxa"/>
          </w:tcPr>
          <w:p w14:paraId="0992FF84" w14:textId="77777777" w:rsidR="00F0743A" w:rsidRPr="000212FA" w:rsidRDefault="00F0743A" w:rsidP="003318FC">
            <w:pPr>
              <w:pStyle w:val="Akapitzlist"/>
              <w:numPr>
                <w:ilvl w:val="0"/>
                <w:numId w:val="1"/>
              </w:numPr>
              <w:spacing w:after="0" w:line="240" w:lineRule="auto"/>
              <w:ind w:left="0" w:firstLine="0"/>
              <w:jc w:val="both"/>
              <w:rPr>
                <w:rFonts w:ascii="Times New Roman" w:hAnsi="Times New Roman" w:cs="Times New Roman"/>
                <w:b/>
              </w:rPr>
            </w:pPr>
          </w:p>
        </w:tc>
        <w:tc>
          <w:tcPr>
            <w:tcW w:w="1418" w:type="dxa"/>
            <w:vAlign w:val="center"/>
          </w:tcPr>
          <w:p w14:paraId="67612EFC" w14:textId="46724CFA" w:rsidR="00F0743A" w:rsidRPr="000212FA" w:rsidRDefault="00F0743A" w:rsidP="003318FC">
            <w:pPr>
              <w:spacing w:after="0" w:line="240" w:lineRule="auto"/>
              <w:jc w:val="both"/>
              <w:rPr>
                <w:rFonts w:ascii="Times New Roman" w:hAnsi="Times New Roman" w:cs="Times New Roman"/>
              </w:rPr>
            </w:pPr>
            <w:r w:rsidRPr="000212FA">
              <w:rPr>
                <w:rFonts w:ascii="Times New Roman" w:hAnsi="Times New Roman" w:cs="Times New Roman"/>
              </w:rPr>
              <w:t xml:space="preserve">Art. 1 pkt 1 lit. a </w:t>
            </w:r>
            <w:proofErr w:type="spellStart"/>
            <w:r w:rsidRPr="000212FA">
              <w:rPr>
                <w:rFonts w:ascii="Times New Roman" w:hAnsi="Times New Roman" w:cs="Times New Roman"/>
              </w:rPr>
              <w:t>tiret</w:t>
            </w:r>
            <w:proofErr w:type="spellEnd"/>
            <w:r w:rsidRPr="000212FA">
              <w:rPr>
                <w:rFonts w:ascii="Times New Roman" w:hAnsi="Times New Roman" w:cs="Times New Roman"/>
              </w:rPr>
              <w:t xml:space="preserve"> drugie projektu w zakresie zmiany art. 68 ust. 1 pkt 5 ustawy o sus</w:t>
            </w:r>
          </w:p>
        </w:tc>
        <w:tc>
          <w:tcPr>
            <w:tcW w:w="1559" w:type="dxa"/>
            <w:vAlign w:val="center"/>
          </w:tcPr>
          <w:p w14:paraId="1654770E" w14:textId="1C5022D2" w:rsidR="00F0743A" w:rsidRPr="000212FA" w:rsidRDefault="00F0743A" w:rsidP="003318FC">
            <w:pPr>
              <w:spacing w:after="0" w:line="240" w:lineRule="auto"/>
              <w:jc w:val="both"/>
              <w:rPr>
                <w:rFonts w:ascii="Times New Roman" w:hAnsi="Times New Roman" w:cs="Times New Roman"/>
              </w:rPr>
            </w:pPr>
            <w:r w:rsidRPr="000212FA">
              <w:rPr>
                <w:rFonts w:ascii="Times New Roman" w:hAnsi="Times New Roman" w:cs="Times New Roman"/>
              </w:rPr>
              <w:t>RCL</w:t>
            </w:r>
          </w:p>
        </w:tc>
        <w:tc>
          <w:tcPr>
            <w:tcW w:w="4536" w:type="dxa"/>
          </w:tcPr>
          <w:p w14:paraId="41681114" w14:textId="3567699E" w:rsidR="00F0743A" w:rsidRPr="000212FA" w:rsidRDefault="00F0743A" w:rsidP="003318FC">
            <w:pPr>
              <w:autoSpaceDE w:val="0"/>
              <w:autoSpaceDN w:val="0"/>
              <w:adjustRightInd w:val="0"/>
              <w:spacing w:after="0" w:line="240" w:lineRule="auto"/>
              <w:jc w:val="both"/>
              <w:rPr>
                <w:rFonts w:ascii="Times New Roman" w:hAnsi="Times New Roman" w:cs="Times New Roman"/>
              </w:rPr>
            </w:pPr>
            <w:r w:rsidRPr="000212FA">
              <w:rPr>
                <w:rFonts w:ascii="Times New Roman" w:hAnsi="Times New Roman" w:cs="Times New Roman"/>
              </w:rPr>
              <w:t xml:space="preserve">W art. 1 w pkt 1 lit. a </w:t>
            </w:r>
            <w:proofErr w:type="spellStart"/>
            <w:r w:rsidRPr="000212FA">
              <w:rPr>
                <w:rFonts w:ascii="Times New Roman" w:hAnsi="Times New Roman" w:cs="Times New Roman"/>
              </w:rPr>
              <w:t>tiret</w:t>
            </w:r>
            <w:proofErr w:type="spellEnd"/>
            <w:r w:rsidRPr="000212FA">
              <w:rPr>
                <w:rFonts w:ascii="Times New Roman" w:hAnsi="Times New Roman" w:cs="Times New Roman"/>
              </w:rPr>
              <w:t xml:space="preserve"> drugie projektu ustawy zaproponowano zmianę art. 68 ust. 1 pkt 5 ustawy z dnia 13 października 1998 r. o systemie ubezpieczeń społecznych, zgodnie z którą do zakresu działania Zakładu Ubezpieczeń Społecznych (zwanego dalej „Zakładem”) będzie należało orzekanie przez lekarzy orzeczników </w:t>
            </w:r>
            <w:r w:rsidRPr="000212FA">
              <w:rPr>
                <w:rFonts w:ascii="Times New Roman" w:hAnsi="Times New Roman" w:cs="Times New Roman"/>
                <w:u w:val="single"/>
              </w:rPr>
              <w:t>oraz specjalistów wykonujących samodzielne zawody medyczne</w:t>
            </w:r>
            <w:r w:rsidRPr="000212FA">
              <w:rPr>
                <w:rFonts w:ascii="Times New Roman" w:hAnsi="Times New Roman" w:cs="Times New Roman"/>
              </w:rPr>
              <w:t xml:space="preserve"> dla potrzeb ustalania uprawnień do świadczeń z ubezpieczeń społecznych, innych świadczeń należących do właściwości Zakładu oraz dla celów realizacji zadań zleconych Zakładowi na podstawie innych ustaw, a także kontrola orzecznictwa o czasowej niezdolności do pracy. Z wyjaśnień zawartych w OSR (pkt 3 w części 2) wynika, że regulacja ta dotyczy „Wprowadzenia możliwości wydawania orzeczeń w określonych rodzajach spraw przez specjalistów wykonujących samodzielne zawody medyczne. W tym zakresie proponuje się, by w sprawach o rehabilitację leczniczą w ramach prewencji rentowej w zakresie profilu narządu ruchu mogły być wydawane przez fizjoterapeutów, a w sprawach, w których ustala się niezdolność do samodzielnej egzystencji, przez pielęgniarki i pielęgniarzy.”. W świetle tych wyjaśnień należy zauważyć, że regulacja zawarta w projekcie obejmuje nie tylko fizjoterapeutów oraz pielęgniarki i pielęgniarzy, ale wszystkie zawody, które mają status samodzielnego zawodu medycznego (wśród których jest także farmaceuta, czy położna). W </w:t>
            </w:r>
            <w:r w:rsidRPr="000212FA">
              <w:rPr>
                <w:rFonts w:ascii="Times New Roman" w:hAnsi="Times New Roman" w:cs="Times New Roman"/>
              </w:rPr>
              <w:lastRenderedPageBreak/>
              <w:t>związku z tym proponuje się przeanalizowanie projektowanej regulacji pod kątem potrzeby jej doprecyzowania, tak aby była zgodna z intencją projektodawcy.</w:t>
            </w:r>
          </w:p>
        </w:tc>
        <w:tc>
          <w:tcPr>
            <w:tcW w:w="3402" w:type="dxa"/>
            <w:vAlign w:val="center"/>
          </w:tcPr>
          <w:p w14:paraId="5064008F" w14:textId="77777777" w:rsidR="00F0743A" w:rsidRPr="000212FA" w:rsidRDefault="00F0743A" w:rsidP="003318FC">
            <w:pPr>
              <w:spacing w:after="0" w:line="240" w:lineRule="auto"/>
              <w:jc w:val="both"/>
              <w:rPr>
                <w:rFonts w:ascii="Times New Roman" w:hAnsi="Times New Roman" w:cs="Times New Roman"/>
              </w:rPr>
            </w:pPr>
          </w:p>
        </w:tc>
        <w:tc>
          <w:tcPr>
            <w:tcW w:w="4253" w:type="dxa"/>
          </w:tcPr>
          <w:p w14:paraId="0096C751" w14:textId="77777777" w:rsidR="00CF496F" w:rsidRPr="000212FA" w:rsidRDefault="00CF496F" w:rsidP="003318FC">
            <w:pPr>
              <w:spacing w:after="0" w:line="240" w:lineRule="auto"/>
              <w:jc w:val="both"/>
              <w:rPr>
                <w:rFonts w:ascii="Times New Roman" w:hAnsi="Times New Roman" w:cs="Times New Roman"/>
                <w:b/>
                <w:bCs/>
              </w:rPr>
            </w:pPr>
            <w:r w:rsidRPr="000212FA">
              <w:rPr>
                <w:rFonts w:ascii="Times New Roman" w:hAnsi="Times New Roman" w:cs="Times New Roman"/>
                <w:b/>
                <w:bCs/>
              </w:rPr>
              <w:t>Uwaga uwzględniona.</w:t>
            </w:r>
          </w:p>
          <w:p w14:paraId="33691936" w14:textId="77777777" w:rsidR="00CF496F" w:rsidRPr="000212FA" w:rsidRDefault="00CF496F" w:rsidP="003318FC">
            <w:pPr>
              <w:spacing w:after="0" w:line="240" w:lineRule="auto"/>
              <w:jc w:val="both"/>
              <w:rPr>
                <w:rFonts w:ascii="Times New Roman" w:hAnsi="Times New Roman" w:cs="Times New Roman"/>
              </w:rPr>
            </w:pPr>
          </w:p>
          <w:p w14:paraId="15D149AB" w14:textId="77777777" w:rsidR="00A41663" w:rsidRPr="000212FA" w:rsidRDefault="00A41663" w:rsidP="003318FC">
            <w:pPr>
              <w:spacing w:after="0" w:line="240" w:lineRule="auto"/>
              <w:jc w:val="both"/>
              <w:rPr>
                <w:rFonts w:ascii="Times New Roman" w:hAnsi="Times New Roman" w:cs="Times New Roman"/>
              </w:rPr>
            </w:pPr>
            <w:r w:rsidRPr="000212FA">
              <w:rPr>
                <w:rFonts w:ascii="Times New Roman" w:hAnsi="Times New Roman" w:cs="Times New Roman"/>
              </w:rPr>
              <w:t>Patrz Lp. 1.</w:t>
            </w:r>
          </w:p>
          <w:p w14:paraId="2776550D" w14:textId="74E14165" w:rsidR="001E2674" w:rsidRPr="000212FA" w:rsidRDefault="001E2674" w:rsidP="003318FC">
            <w:pPr>
              <w:spacing w:after="0" w:line="240" w:lineRule="auto"/>
              <w:jc w:val="both"/>
              <w:rPr>
                <w:rFonts w:ascii="Times New Roman" w:hAnsi="Times New Roman" w:cs="Times New Roman"/>
              </w:rPr>
            </w:pPr>
          </w:p>
        </w:tc>
      </w:tr>
      <w:tr w:rsidR="00F0743A" w:rsidRPr="000212FA" w14:paraId="769E693E" w14:textId="77777777" w:rsidTr="003318FC">
        <w:tc>
          <w:tcPr>
            <w:tcW w:w="567" w:type="dxa"/>
          </w:tcPr>
          <w:p w14:paraId="25694A77" w14:textId="77777777" w:rsidR="00F0743A" w:rsidRPr="000212FA" w:rsidRDefault="00F0743A" w:rsidP="003318FC">
            <w:pPr>
              <w:pStyle w:val="Akapitzlist"/>
              <w:numPr>
                <w:ilvl w:val="0"/>
                <w:numId w:val="1"/>
              </w:numPr>
              <w:spacing w:after="0" w:line="240" w:lineRule="auto"/>
              <w:ind w:left="0" w:firstLine="0"/>
              <w:jc w:val="both"/>
              <w:rPr>
                <w:rFonts w:ascii="Times New Roman" w:hAnsi="Times New Roman" w:cs="Times New Roman"/>
                <w:b/>
              </w:rPr>
            </w:pPr>
          </w:p>
        </w:tc>
        <w:tc>
          <w:tcPr>
            <w:tcW w:w="1418" w:type="dxa"/>
            <w:vAlign w:val="center"/>
          </w:tcPr>
          <w:p w14:paraId="535A8C7F" w14:textId="53C7DFB2" w:rsidR="00F0743A" w:rsidRPr="000212FA" w:rsidRDefault="00F0743A" w:rsidP="003318FC">
            <w:pPr>
              <w:spacing w:after="0" w:line="240" w:lineRule="auto"/>
              <w:jc w:val="both"/>
              <w:rPr>
                <w:rFonts w:ascii="Times New Roman" w:hAnsi="Times New Roman" w:cs="Times New Roman"/>
              </w:rPr>
            </w:pPr>
            <w:r w:rsidRPr="000212FA">
              <w:rPr>
                <w:rFonts w:ascii="Times New Roman" w:hAnsi="Times New Roman" w:cs="Times New Roman"/>
              </w:rPr>
              <w:t xml:space="preserve">Art. 1 pkt </w:t>
            </w:r>
            <w:r w:rsidR="00EA5CFF" w:rsidRPr="000212FA">
              <w:rPr>
                <w:rFonts w:ascii="Times New Roman" w:hAnsi="Times New Roman" w:cs="Times New Roman"/>
              </w:rPr>
              <w:t>1 lit. b</w:t>
            </w:r>
            <w:r w:rsidRPr="000212FA">
              <w:rPr>
                <w:rFonts w:ascii="Times New Roman" w:hAnsi="Times New Roman" w:cs="Times New Roman"/>
              </w:rPr>
              <w:t xml:space="preserve"> projektu – w zakresie art. 68 ust. 2 </w:t>
            </w:r>
            <w:r w:rsidR="00EA5CFF" w:rsidRPr="000212FA">
              <w:rPr>
                <w:rFonts w:ascii="Times New Roman" w:hAnsi="Times New Roman" w:cs="Times New Roman"/>
              </w:rPr>
              <w:t>ustawy o sus (oraz art. 26 projektu)</w:t>
            </w:r>
          </w:p>
        </w:tc>
        <w:tc>
          <w:tcPr>
            <w:tcW w:w="1559" w:type="dxa"/>
            <w:vAlign w:val="center"/>
          </w:tcPr>
          <w:p w14:paraId="53CCD919" w14:textId="4684E2BE" w:rsidR="00F0743A" w:rsidRPr="000212FA" w:rsidRDefault="00F0743A" w:rsidP="003318FC">
            <w:pPr>
              <w:spacing w:after="0" w:line="240" w:lineRule="auto"/>
              <w:jc w:val="both"/>
              <w:rPr>
                <w:rFonts w:ascii="Times New Roman" w:hAnsi="Times New Roman" w:cs="Times New Roman"/>
              </w:rPr>
            </w:pPr>
            <w:proofErr w:type="spellStart"/>
            <w:r w:rsidRPr="000212FA">
              <w:rPr>
                <w:rFonts w:ascii="Times New Roman" w:hAnsi="Times New Roman" w:cs="Times New Roman"/>
              </w:rPr>
              <w:t>MRiT</w:t>
            </w:r>
            <w:proofErr w:type="spellEnd"/>
          </w:p>
        </w:tc>
        <w:tc>
          <w:tcPr>
            <w:tcW w:w="4536" w:type="dxa"/>
          </w:tcPr>
          <w:p w14:paraId="42CD887F" w14:textId="77777777" w:rsidR="00EA5CFF" w:rsidRPr="000212FA" w:rsidRDefault="00EA5CFF" w:rsidP="003318FC">
            <w:pPr>
              <w:autoSpaceDE w:val="0"/>
              <w:autoSpaceDN w:val="0"/>
              <w:adjustRightInd w:val="0"/>
              <w:spacing w:after="0" w:line="240" w:lineRule="auto"/>
              <w:jc w:val="both"/>
              <w:rPr>
                <w:rFonts w:ascii="Times New Roman" w:hAnsi="Times New Roman" w:cs="Times New Roman"/>
              </w:rPr>
            </w:pPr>
            <w:r w:rsidRPr="000212FA">
              <w:rPr>
                <w:rFonts w:ascii="Times New Roman" w:hAnsi="Times New Roman" w:cs="Times New Roman"/>
              </w:rPr>
              <w:t xml:space="preserve">Zmieniany art. 68 ust. 2 ustawy z dnia 13 października 1998 r. o systemie ubezpieczeń społecznych przewiduje, w ramach realizacji zadań określonych w ust. 1 pkt 5 projektu, wyłączenie z przepisów ustawy z dnia 11 września 2019 r. – Prawo zamówień publicznych (dalej: </w:t>
            </w:r>
            <w:proofErr w:type="spellStart"/>
            <w:r w:rsidRPr="000212FA">
              <w:rPr>
                <w:rFonts w:ascii="Times New Roman" w:hAnsi="Times New Roman" w:cs="Times New Roman"/>
              </w:rPr>
              <w:t>Pzp</w:t>
            </w:r>
            <w:proofErr w:type="spellEnd"/>
            <w:r w:rsidRPr="000212FA">
              <w:rPr>
                <w:rFonts w:ascii="Times New Roman" w:hAnsi="Times New Roman" w:cs="Times New Roman"/>
              </w:rPr>
              <w:t xml:space="preserve">) zamówień na opinie specjalistyczne lekarza konsultanta lub psychologa oraz wyniki obserwacji szpitalnej. Proponowane wyłączenie ma charakter rozszerzający w stosunku do obecnie obowiązującej regulacji art. 68 ust. 2, tj. wyłączenie dotyczy jedynie zamówień na dodatkowe opinie lekarza konsultanta lub psychologa oraz wyniki czasowej obserwacji szpitalnej - zgodnie z potrzebami orzecznictwa lekarskiego. </w:t>
            </w:r>
          </w:p>
          <w:p w14:paraId="58C9DAF1" w14:textId="77777777" w:rsidR="00EA5CFF" w:rsidRPr="000212FA" w:rsidRDefault="00EA5CFF" w:rsidP="003318FC">
            <w:pPr>
              <w:autoSpaceDE w:val="0"/>
              <w:autoSpaceDN w:val="0"/>
              <w:adjustRightInd w:val="0"/>
              <w:spacing w:after="0" w:line="240" w:lineRule="auto"/>
              <w:jc w:val="both"/>
              <w:rPr>
                <w:rFonts w:ascii="Times New Roman" w:hAnsi="Times New Roman" w:cs="Times New Roman"/>
              </w:rPr>
            </w:pPr>
            <w:r w:rsidRPr="000212FA">
              <w:rPr>
                <w:rFonts w:ascii="Times New Roman" w:hAnsi="Times New Roman" w:cs="Times New Roman"/>
              </w:rPr>
              <w:t xml:space="preserve">Z kolei, w projektowanym art. 26 projektu ustawy przewiduje się wyłączenie stosowania </w:t>
            </w:r>
            <w:proofErr w:type="spellStart"/>
            <w:r w:rsidRPr="000212FA">
              <w:rPr>
                <w:rFonts w:ascii="Times New Roman" w:hAnsi="Times New Roman" w:cs="Times New Roman"/>
              </w:rPr>
              <w:t>Pzp</w:t>
            </w:r>
            <w:proofErr w:type="spellEnd"/>
            <w:r w:rsidRPr="000212FA">
              <w:rPr>
                <w:rFonts w:ascii="Times New Roman" w:hAnsi="Times New Roman" w:cs="Times New Roman"/>
              </w:rPr>
              <w:t xml:space="preserve"> w zakresie dostaw i usług w związku z przygotowaniem systemów teleinformatycznych ZUS do zmian w realizacji zadań. </w:t>
            </w:r>
          </w:p>
          <w:p w14:paraId="23E96866" w14:textId="77777777" w:rsidR="00EA5CFF" w:rsidRPr="000212FA" w:rsidRDefault="00EA5CFF" w:rsidP="003318FC">
            <w:pPr>
              <w:autoSpaceDE w:val="0"/>
              <w:autoSpaceDN w:val="0"/>
              <w:adjustRightInd w:val="0"/>
              <w:spacing w:after="0" w:line="240" w:lineRule="auto"/>
              <w:jc w:val="both"/>
              <w:rPr>
                <w:rFonts w:ascii="Times New Roman" w:hAnsi="Times New Roman" w:cs="Times New Roman"/>
              </w:rPr>
            </w:pPr>
            <w:r w:rsidRPr="000212FA">
              <w:rPr>
                <w:rFonts w:ascii="Times New Roman" w:hAnsi="Times New Roman" w:cs="Times New Roman"/>
              </w:rPr>
              <w:t xml:space="preserve">Wobec proponowanego brzmienia art. 68 ust. 2, zmienianego niniejszym projektem, oraz brzmienia art. 26 (przepisu dostosowującego), należy stanowczo podkreślić, że przepisy </w:t>
            </w:r>
            <w:proofErr w:type="spellStart"/>
            <w:r w:rsidRPr="000212FA">
              <w:rPr>
                <w:rFonts w:ascii="Times New Roman" w:hAnsi="Times New Roman" w:cs="Times New Roman"/>
              </w:rPr>
              <w:t>Pzp</w:t>
            </w:r>
            <w:proofErr w:type="spellEnd"/>
            <w:r w:rsidRPr="000212FA">
              <w:rPr>
                <w:rFonts w:ascii="Times New Roman" w:hAnsi="Times New Roman" w:cs="Times New Roman"/>
              </w:rPr>
              <w:t xml:space="preserve"> określają zamknięty katalog przypadków wyłączonych spod jej stosowania, który stanowi wyraz pełnej implementacji przepisów dyrektyw UE regulujących sprawy z zakresu zamówień publicznych (w tym dyrektywy Parlamentu Europejskiego i Rady 2014/24/UE z dnia 26 </w:t>
            </w:r>
            <w:r w:rsidRPr="000212FA">
              <w:rPr>
                <w:rFonts w:ascii="Times New Roman" w:hAnsi="Times New Roman" w:cs="Times New Roman"/>
              </w:rPr>
              <w:lastRenderedPageBreak/>
              <w:t xml:space="preserve">lutego 2014 r. w sprawie zamówień publicznych, uchylającą dyrektywę 2004/18/WE). </w:t>
            </w:r>
          </w:p>
          <w:p w14:paraId="38C6DB2E" w14:textId="68BC1E7D" w:rsidR="00EA5CFF" w:rsidRPr="000212FA" w:rsidRDefault="00EA5CFF" w:rsidP="003318FC">
            <w:pPr>
              <w:autoSpaceDE w:val="0"/>
              <w:autoSpaceDN w:val="0"/>
              <w:adjustRightInd w:val="0"/>
              <w:spacing w:after="0" w:line="240" w:lineRule="auto"/>
              <w:jc w:val="both"/>
              <w:rPr>
                <w:rFonts w:ascii="Times New Roman" w:hAnsi="Times New Roman" w:cs="Times New Roman"/>
              </w:rPr>
            </w:pPr>
            <w:r w:rsidRPr="000212FA">
              <w:rPr>
                <w:rFonts w:ascii="Times New Roman" w:hAnsi="Times New Roman" w:cs="Times New Roman"/>
              </w:rPr>
              <w:t xml:space="preserve">Przepisy dyrektyw unijnych wyczerpująco określają wyjątki od stosowania przepisów o zamówieniach publicznych. W orzecznictwie Trybunału Sprawiedliwości UE podkreśla się natomiast, że każde z </w:t>
            </w:r>
            <w:proofErr w:type="spellStart"/>
            <w:r w:rsidRPr="000212FA">
              <w:rPr>
                <w:rFonts w:ascii="Times New Roman" w:hAnsi="Times New Roman" w:cs="Times New Roman"/>
              </w:rPr>
              <w:t>wył</w:t>
            </w:r>
            <w:r w:rsidR="004870AD" w:rsidRPr="000212FA">
              <w:rPr>
                <w:rFonts w:ascii="Times New Roman" w:hAnsi="Times New Roman" w:cs="Times New Roman"/>
              </w:rPr>
              <w:t>ą</w:t>
            </w:r>
            <w:r w:rsidRPr="000212FA">
              <w:rPr>
                <w:rFonts w:ascii="Times New Roman" w:hAnsi="Times New Roman" w:cs="Times New Roman"/>
              </w:rPr>
              <w:t>czeń</w:t>
            </w:r>
            <w:proofErr w:type="spellEnd"/>
            <w:r w:rsidRPr="000212FA">
              <w:rPr>
                <w:rFonts w:ascii="Times New Roman" w:hAnsi="Times New Roman" w:cs="Times New Roman"/>
              </w:rPr>
              <w:t xml:space="preserve"> od obowiązku stosowania procedur przetargowych wymaga interpretacji ścisłej i zawężającej. W tym stanie rzeczy, wprowadzenie do systemu prawa wyłączenia stosowania </w:t>
            </w:r>
            <w:proofErr w:type="spellStart"/>
            <w:r w:rsidRPr="000212FA">
              <w:rPr>
                <w:rFonts w:ascii="Times New Roman" w:hAnsi="Times New Roman" w:cs="Times New Roman"/>
              </w:rPr>
              <w:t>Pzp</w:t>
            </w:r>
            <w:proofErr w:type="spellEnd"/>
            <w:r w:rsidRPr="000212FA">
              <w:rPr>
                <w:rFonts w:ascii="Times New Roman" w:hAnsi="Times New Roman" w:cs="Times New Roman"/>
              </w:rPr>
              <w:t xml:space="preserve">, rozszerzającego względem </w:t>
            </w:r>
            <w:proofErr w:type="spellStart"/>
            <w:r w:rsidRPr="000212FA">
              <w:rPr>
                <w:rFonts w:ascii="Times New Roman" w:hAnsi="Times New Roman" w:cs="Times New Roman"/>
              </w:rPr>
              <w:t>wyłączeń</w:t>
            </w:r>
            <w:proofErr w:type="spellEnd"/>
            <w:r w:rsidRPr="000212FA">
              <w:rPr>
                <w:rFonts w:ascii="Times New Roman" w:hAnsi="Times New Roman" w:cs="Times New Roman"/>
              </w:rPr>
              <w:t xml:space="preserve"> tam uregulowanych, należy zawsze poddać pogłębionej analizie w kontekście jego zgodności z przepisami unijnymi z zakresu zamówień publicznych. </w:t>
            </w:r>
          </w:p>
          <w:p w14:paraId="28EE24EA" w14:textId="77777777" w:rsidR="00EA5CFF" w:rsidRPr="000212FA" w:rsidRDefault="00EA5CFF" w:rsidP="003318FC">
            <w:pPr>
              <w:autoSpaceDE w:val="0"/>
              <w:autoSpaceDN w:val="0"/>
              <w:adjustRightInd w:val="0"/>
              <w:spacing w:after="0" w:line="240" w:lineRule="auto"/>
              <w:jc w:val="both"/>
              <w:rPr>
                <w:rFonts w:ascii="Times New Roman" w:hAnsi="Times New Roman" w:cs="Times New Roman"/>
              </w:rPr>
            </w:pPr>
            <w:r w:rsidRPr="000212FA">
              <w:rPr>
                <w:rFonts w:ascii="Times New Roman" w:hAnsi="Times New Roman" w:cs="Times New Roman"/>
              </w:rPr>
              <w:t xml:space="preserve">Odnosząc się konkretnie do proponowanego, w art. 68 ust. 2 projektu ustawy, rozszerzenia obowiązującego obecnie katalogu </w:t>
            </w:r>
            <w:proofErr w:type="spellStart"/>
            <w:r w:rsidRPr="000212FA">
              <w:rPr>
                <w:rFonts w:ascii="Times New Roman" w:hAnsi="Times New Roman" w:cs="Times New Roman"/>
              </w:rPr>
              <w:t>wyłączeń</w:t>
            </w:r>
            <w:proofErr w:type="spellEnd"/>
            <w:r w:rsidRPr="000212FA">
              <w:rPr>
                <w:rFonts w:ascii="Times New Roman" w:hAnsi="Times New Roman" w:cs="Times New Roman"/>
              </w:rPr>
              <w:t xml:space="preserve"> stosowania przepisów </w:t>
            </w:r>
            <w:proofErr w:type="spellStart"/>
            <w:r w:rsidRPr="000212FA">
              <w:rPr>
                <w:rFonts w:ascii="Times New Roman" w:hAnsi="Times New Roman" w:cs="Times New Roman"/>
              </w:rPr>
              <w:t>Pzp</w:t>
            </w:r>
            <w:proofErr w:type="spellEnd"/>
            <w:r w:rsidRPr="000212FA">
              <w:rPr>
                <w:rFonts w:ascii="Times New Roman" w:hAnsi="Times New Roman" w:cs="Times New Roman"/>
              </w:rPr>
              <w:t xml:space="preserve">, należy wskazać, iż budzi ono wątpliwości co do zgodności z dyrektywami UE, i jako takie może być kwestionowane przez Komisję Europejską. Projektowane regulacje zdają się bowiem nie znajdować odzwierciedlenia w konkretnych włączeniach uregulowanych przepisami dyrektyw unijnych, zaś w uzasadnieniu nie zawarto w tej kwestii jakiegokolwiek wyjaśnienia. W uzasadnieniu projektu wskazano jedynie, że wprowadzane wyłączenia należy uznać za „mające charakter dostosowujący, w związku z określeniem zadań ZUS związanych z wydawaniem orzeczeń.” </w:t>
            </w:r>
          </w:p>
          <w:p w14:paraId="6333D24D" w14:textId="77777777" w:rsidR="00EA5CFF" w:rsidRPr="000212FA" w:rsidRDefault="00EA5CFF" w:rsidP="003318FC">
            <w:pPr>
              <w:autoSpaceDE w:val="0"/>
              <w:autoSpaceDN w:val="0"/>
              <w:adjustRightInd w:val="0"/>
              <w:spacing w:after="0" w:line="240" w:lineRule="auto"/>
              <w:jc w:val="both"/>
              <w:rPr>
                <w:rFonts w:ascii="Times New Roman" w:hAnsi="Times New Roman" w:cs="Times New Roman"/>
              </w:rPr>
            </w:pPr>
            <w:r w:rsidRPr="000212FA">
              <w:rPr>
                <w:rFonts w:ascii="Times New Roman" w:hAnsi="Times New Roman" w:cs="Times New Roman"/>
              </w:rPr>
              <w:t xml:space="preserve">Analogiczną uwagę należy podnieść wobec projektowanego art. 26. </w:t>
            </w:r>
          </w:p>
          <w:p w14:paraId="7C0286D1" w14:textId="77777777" w:rsidR="00EA5CFF" w:rsidRPr="000212FA" w:rsidRDefault="00EA5CFF" w:rsidP="003318FC">
            <w:pPr>
              <w:autoSpaceDE w:val="0"/>
              <w:autoSpaceDN w:val="0"/>
              <w:adjustRightInd w:val="0"/>
              <w:spacing w:after="0" w:line="240" w:lineRule="auto"/>
              <w:jc w:val="both"/>
              <w:rPr>
                <w:rFonts w:ascii="Times New Roman" w:hAnsi="Times New Roman" w:cs="Times New Roman"/>
              </w:rPr>
            </w:pPr>
            <w:r w:rsidRPr="000212FA">
              <w:rPr>
                <w:rFonts w:ascii="Times New Roman" w:hAnsi="Times New Roman" w:cs="Times New Roman"/>
              </w:rPr>
              <w:lastRenderedPageBreak/>
              <w:t xml:space="preserve">Wyłączenie stosowania </w:t>
            </w:r>
            <w:proofErr w:type="spellStart"/>
            <w:r w:rsidRPr="000212FA">
              <w:rPr>
                <w:rFonts w:ascii="Times New Roman" w:hAnsi="Times New Roman" w:cs="Times New Roman"/>
              </w:rPr>
              <w:t>Pzp</w:t>
            </w:r>
            <w:proofErr w:type="spellEnd"/>
            <w:r w:rsidRPr="000212FA">
              <w:rPr>
                <w:rFonts w:ascii="Times New Roman" w:hAnsi="Times New Roman" w:cs="Times New Roman"/>
              </w:rPr>
              <w:t xml:space="preserve"> przy dostosowaniu systemu do proponowanych zmian może być uznane za naruszające dyrektywy UE regulujące sprawy z zakresu zamówień publicznych (w tym dyrektywę Parlamentu Europejskiego i Rady 2014/24/UE z dnia 26 lutego 2014 r. w sprawie zamówień publicznych, uchylającą dyrektywę 2004/18/WE). W przepisach UE nie przewidziano tego rodzaju wyłączenia stosowania unijnych regulacji zamówieniowych, których implementację stanowi </w:t>
            </w:r>
            <w:proofErr w:type="spellStart"/>
            <w:r w:rsidRPr="000212FA">
              <w:rPr>
                <w:rFonts w:ascii="Times New Roman" w:hAnsi="Times New Roman" w:cs="Times New Roman"/>
              </w:rPr>
              <w:t>Pzp</w:t>
            </w:r>
            <w:proofErr w:type="spellEnd"/>
            <w:r w:rsidRPr="000212FA">
              <w:rPr>
                <w:rFonts w:ascii="Times New Roman" w:hAnsi="Times New Roman" w:cs="Times New Roman"/>
              </w:rPr>
              <w:t xml:space="preserve">. Tym samym, wyłączenie spotkać się może z zarzutem Komisji Europejskiej, tak jak w przypadku innych </w:t>
            </w:r>
            <w:proofErr w:type="spellStart"/>
            <w:r w:rsidRPr="000212FA">
              <w:rPr>
                <w:rFonts w:ascii="Times New Roman" w:hAnsi="Times New Roman" w:cs="Times New Roman"/>
              </w:rPr>
              <w:t>wyłączeń</w:t>
            </w:r>
            <w:proofErr w:type="spellEnd"/>
            <w:r w:rsidRPr="000212FA">
              <w:rPr>
                <w:rFonts w:ascii="Times New Roman" w:hAnsi="Times New Roman" w:cs="Times New Roman"/>
              </w:rPr>
              <w:t xml:space="preserve"> niezgodnych z dyrektywami UE.</w:t>
            </w:r>
          </w:p>
          <w:p w14:paraId="74B182AC" w14:textId="387A96DF" w:rsidR="00F0743A" w:rsidRPr="000212FA" w:rsidRDefault="00EA5CFF" w:rsidP="003318FC">
            <w:pPr>
              <w:autoSpaceDE w:val="0"/>
              <w:autoSpaceDN w:val="0"/>
              <w:adjustRightInd w:val="0"/>
              <w:spacing w:after="0" w:line="240" w:lineRule="auto"/>
              <w:jc w:val="both"/>
              <w:rPr>
                <w:rFonts w:ascii="Times New Roman" w:hAnsi="Times New Roman" w:cs="Times New Roman"/>
              </w:rPr>
            </w:pPr>
            <w:r w:rsidRPr="000212FA">
              <w:rPr>
                <w:rFonts w:ascii="Times New Roman" w:hAnsi="Times New Roman" w:cs="Times New Roman"/>
              </w:rPr>
              <w:t xml:space="preserve">Przepisy </w:t>
            </w:r>
            <w:proofErr w:type="spellStart"/>
            <w:r w:rsidRPr="000212FA">
              <w:rPr>
                <w:rFonts w:ascii="Times New Roman" w:hAnsi="Times New Roman" w:cs="Times New Roman"/>
              </w:rPr>
              <w:t>Pzp</w:t>
            </w:r>
            <w:proofErr w:type="spellEnd"/>
            <w:r w:rsidRPr="000212FA">
              <w:rPr>
                <w:rFonts w:ascii="Times New Roman" w:hAnsi="Times New Roman" w:cs="Times New Roman"/>
              </w:rPr>
              <w:t xml:space="preserve"> przewidują odpowiednie regulacje, które umożliwiają zamawiającemu udzielenie zamówienia w maksymalnie skróconym czasie np. w trybie zamówienia z wolnej ręki. Projektodawca, wskazując w uzasadnieniu projektu potrzebę wprowadzenia ww. wyłączenia stosowania </w:t>
            </w:r>
            <w:proofErr w:type="spellStart"/>
            <w:r w:rsidRPr="000212FA">
              <w:rPr>
                <w:rFonts w:ascii="Times New Roman" w:hAnsi="Times New Roman" w:cs="Times New Roman"/>
              </w:rPr>
              <w:t>Pzp</w:t>
            </w:r>
            <w:proofErr w:type="spellEnd"/>
            <w:r w:rsidRPr="000212FA">
              <w:rPr>
                <w:rFonts w:ascii="Times New Roman" w:hAnsi="Times New Roman" w:cs="Times New Roman"/>
              </w:rPr>
              <w:t xml:space="preserve">, nie wskazuje jednak konkretnych przyczyn, które powodowałyby brak możliwości efektywnego udzielenia zamówienia z zastosowaniem trybów określonych przepisami </w:t>
            </w:r>
            <w:proofErr w:type="spellStart"/>
            <w:r w:rsidRPr="000212FA">
              <w:rPr>
                <w:rFonts w:ascii="Times New Roman" w:hAnsi="Times New Roman" w:cs="Times New Roman"/>
              </w:rPr>
              <w:t>Pzp</w:t>
            </w:r>
            <w:proofErr w:type="spellEnd"/>
            <w:r w:rsidRPr="000212FA">
              <w:rPr>
                <w:rFonts w:ascii="Times New Roman" w:hAnsi="Times New Roman" w:cs="Times New Roman"/>
              </w:rPr>
              <w:t>, w tym trybów niekonkurencyjnych, które w sposób zasadniczy skracają postępowanie oraz ograniczają obowiązki zamawiającego.</w:t>
            </w:r>
          </w:p>
        </w:tc>
        <w:tc>
          <w:tcPr>
            <w:tcW w:w="3402" w:type="dxa"/>
            <w:vAlign w:val="center"/>
          </w:tcPr>
          <w:p w14:paraId="58EF0495" w14:textId="77777777" w:rsidR="00F0743A" w:rsidRPr="000212FA" w:rsidRDefault="00F0743A" w:rsidP="003318FC">
            <w:pPr>
              <w:spacing w:after="0" w:line="240" w:lineRule="auto"/>
              <w:jc w:val="both"/>
              <w:rPr>
                <w:rFonts w:ascii="Times New Roman" w:hAnsi="Times New Roman" w:cs="Times New Roman"/>
              </w:rPr>
            </w:pPr>
          </w:p>
        </w:tc>
        <w:tc>
          <w:tcPr>
            <w:tcW w:w="4253" w:type="dxa"/>
          </w:tcPr>
          <w:p w14:paraId="4387C156" w14:textId="47859EBD" w:rsidR="00AC01D0" w:rsidRPr="000212FA" w:rsidRDefault="00AC01D0" w:rsidP="003318FC">
            <w:pPr>
              <w:spacing w:after="0" w:line="240" w:lineRule="auto"/>
              <w:jc w:val="both"/>
              <w:rPr>
                <w:rFonts w:ascii="Times New Roman" w:hAnsi="Times New Roman" w:cs="Times New Roman"/>
                <w:b/>
                <w:bCs/>
              </w:rPr>
            </w:pPr>
            <w:r w:rsidRPr="000212FA">
              <w:rPr>
                <w:rFonts w:ascii="Times New Roman" w:hAnsi="Times New Roman" w:cs="Times New Roman"/>
                <w:b/>
                <w:bCs/>
              </w:rPr>
              <w:t>Uwaga uwzględniona.</w:t>
            </w:r>
          </w:p>
          <w:p w14:paraId="1B9C2E51" w14:textId="6C279C2A" w:rsidR="003D43B8" w:rsidRPr="000212FA" w:rsidRDefault="00AC01D0" w:rsidP="003318FC">
            <w:pPr>
              <w:spacing w:after="0" w:line="240" w:lineRule="auto"/>
              <w:jc w:val="both"/>
              <w:rPr>
                <w:rFonts w:ascii="Times New Roman" w:hAnsi="Times New Roman" w:cs="Times New Roman"/>
              </w:rPr>
            </w:pPr>
            <w:r w:rsidRPr="000212FA">
              <w:rPr>
                <w:rFonts w:ascii="Times New Roman" w:hAnsi="Times New Roman" w:cs="Times New Roman"/>
              </w:rPr>
              <w:t xml:space="preserve">Uwzględnione zostały argumenty </w:t>
            </w:r>
            <w:r w:rsidR="004870AD" w:rsidRPr="000212FA">
              <w:rPr>
                <w:rFonts w:ascii="Times New Roman" w:hAnsi="Times New Roman" w:cs="Times New Roman"/>
              </w:rPr>
              <w:br/>
            </w:r>
            <w:r w:rsidRPr="000212FA">
              <w:rPr>
                <w:rFonts w:ascii="Times New Roman" w:hAnsi="Times New Roman" w:cs="Times New Roman"/>
              </w:rPr>
              <w:t>w odniesieniu do projektowanego art. 26 ustawy</w:t>
            </w:r>
            <w:r w:rsidR="003D43B8" w:rsidRPr="000212FA">
              <w:rPr>
                <w:rFonts w:ascii="Times New Roman" w:hAnsi="Times New Roman" w:cs="Times New Roman"/>
              </w:rPr>
              <w:t xml:space="preserve"> (przepis został usunięty)</w:t>
            </w:r>
            <w:r w:rsidRPr="000212FA">
              <w:rPr>
                <w:rFonts w:ascii="Times New Roman" w:hAnsi="Times New Roman" w:cs="Times New Roman"/>
              </w:rPr>
              <w:t>.</w:t>
            </w:r>
            <w:r w:rsidR="004870AD" w:rsidRPr="000212FA">
              <w:rPr>
                <w:rFonts w:ascii="Times New Roman" w:hAnsi="Times New Roman" w:cs="Times New Roman"/>
              </w:rPr>
              <w:t xml:space="preserve"> </w:t>
            </w:r>
          </w:p>
          <w:p w14:paraId="469ED97D" w14:textId="570A6F58" w:rsidR="00E122B2" w:rsidRPr="000212FA" w:rsidRDefault="00E122B2" w:rsidP="003318FC">
            <w:pPr>
              <w:spacing w:after="0" w:line="240" w:lineRule="auto"/>
              <w:jc w:val="both"/>
              <w:rPr>
                <w:rFonts w:ascii="Times New Roman" w:hAnsi="Times New Roman" w:cs="Times New Roman"/>
              </w:rPr>
            </w:pPr>
          </w:p>
          <w:p w14:paraId="465E6221" w14:textId="7B7BFBA1" w:rsidR="00E122B2" w:rsidRPr="000212FA" w:rsidRDefault="00E122B2" w:rsidP="003318FC">
            <w:pPr>
              <w:spacing w:after="0" w:line="240" w:lineRule="auto"/>
              <w:jc w:val="both"/>
              <w:rPr>
                <w:rFonts w:ascii="Times New Roman" w:hAnsi="Times New Roman" w:cs="Times New Roman"/>
                <w:b/>
                <w:bCs/>
              </w:rPr>
            </w:pPr>
            <w:r w:rsidRPr="000212FA">
              <w:rPr>
                <w:rFonts w:ascii="Times New Roman" w:hAnsi="Times New Roman" w:cs="Times New Roman"/>
                <w:b/>
                <w:bCs/>
              </w:rPr>
              <w:t>Uwaga wyjaśniona.</w:t>
            </w:r>
          </w:p>
          <w:p w14:paraId="18F2140B" w14:textId="7F9416C6" w:rsidR="00BB25AF" w:rsidRPr="000212FA" w:rsidRDefault="00C96846" w:rsidP="003318FC">
            <w:pPr>
              <w:spacing w:after="0" w:line="240" w:lineRule="auto"/>
              <w:jc w:val="both"/>
              <w:rPr>
                <w:rFonts w:ascii="Times New Roman" w:hAnsi="Times New Roman" w:cs="Times New Roman"/>
              </w:rPr>
            </w:pPr>
            <w:r w:rsidRPr="000212FA">
              <w:rPr>
                <w:rFonts w:ascii="Times New Roman" w:hAnsi="Times New Roman" w:cs="Times New Roman"/>
              </w:rPr>
              <w:t xml:space="preserve">Wyłączenie z PZP w zakresie </w:t>
            </w:r>
            <w:r w:rsidR="00E122B2" w:rsidRPr="000212FA">
              <w:rPr>
                <w:rFonts w:ascii="Times New Roman" w:hAnsi="Times New Roman" w:cs="Times New Roman"/>
              </w:rPr>
              <w:t xml:space="preserve">wskazanym w art. 68 ust. 2 ustawy o systemie ubezpieczeń społecznych </w:t>
            </w:r>
            <w:r w:rsidRPr="000212FA">
              <w:rPr>
                <w:rFonts w:ascii="Times New Roman" w:hAnsi="Times New Roman" w:cs="Times New Roman"/>
              </w:rPr>
              <w:t xml:space="preserve">jest niezbędne w celu sprawnego wydania orzeczenia oraz załatwienia sprawy. Podkreślenia wymaga fakt, że zmiana tego przepisu nie stanowi nowego rodzajowo wyłączenia, a jedynie dostosowanie do przepisów wprowadzonych w ustawie zmieniającej. </w:t>
            </w:r>
          </w:p>
          <w:p w14:paraId="648FAAF5" w14:textId="66A3FDF6" w:rsidR="00DC1668" w:rsidRPr="000212FA" w:rsidRDefault="00DC1668" w:rsidP="003318FC">
            <w:pPr>
              <w:spacing w:after="0" w:line="240" w:lineRule="auto"/>
              <w:jc w:val="both"/>
              <w:rPr>
                <w:rFonts w:ascii="Times New Roman" w:hAnsi="Times New Roman" w:cs="Times New Roman"/>
              </w:rPr>
            </w:pPr>
          </w:p>
        </w:tc>
      </w:tr>
      <w:tr w:rsidR="00F0743A" w:rsidRPr="000212FA" w14:paraId="2AD43D9B" w14:textId="77777777" w:rsidTr="003318FC">
        <w:tc>
          <w:tcPr>
            <w:tcW w:w="567" w:type="dxa"/>
          </w:tcPr>
          <w:p w14:paraId="3D76E9FB" w14:textId="77777777" w:rsidR="00F0743A" w:rsidRPr="000212FA" w:rsidRDefault="00F0743A" w:rsidP="003318FC">
            <w:pPr>
              <w:pStyle w:val="Akapitzlist"/>
              <w:numPr>
                <w:ilvl w:val="0"/>
                <w:numId w:val="1"/>
              </w:numPr>
              <w:spacing w:after="0" w:line="240" w:lineRule="auto"/>
              <w:ind w:left="0" w:firstLine="0"/>
              <w:jc w:val="both"/>
              <w:rPr>
                <w:rFonts w:ascii="Times New Roman" w:hAnsi="Times New Roman" w:cs="Times New Roman"/>
                <w:b/>
              </w:rPr>
            </w:pPr>
          </w:p>
        </w:tc>
        <w:tc>
          <w:tcPr>
            <w:tcW w:w="1418" w:type="dxa"/>
            <w:vAlign w:val="center"/>
          </w:tcPr>
          <w:p w14:paraId="15FB0A44" w14:textId="0941BB99" w:rsidR="00F0743A" w:rsidRPr="000212FA" w:rsidRDefault="00F0743A" w:rsidP="003318FC">
            <w:pPr>
              <w:spacing w:after="0" w:line="240" w:lineRule="auto"/>
              <w:jc w:val="both"/>
              <w:rPr>
                <w:rFonts w:ascii="Times New Roman" w:hAnsi="Times New Roman" w:cs="Times New Roman"/>
              </w:rPr>
            </w:pPr>
            <w:r w:rsidRPr="000212FA">
              <w:rPr>
                <w:rFonts w:ascii="Times New Roman" w:hAnsi="Times New Roman" w:cs="Times New Roman"/>
              </w:rPr>
              <w:t xml:space="preserve">Art. 1 pkt 7 projektu – w zakresie art. 85a ust. 1 oraz art. 85a </w:t>
            </w:r>
            <w:r w:rsidRPr="000212FA">
              <w:rPr>
                <w:rFonts w:ascii="Times New Roman" w:hAnsi="Times New Roman" w:cs="Times New Roman"/>
              </w:rPr>
              <w:lastRenderedPageBreak/>
              <w:t>ust. 4</w:t>
            </w:r>
            <w:r w:rsidR="00557AD9" w:rsidRPr="000212FA">
              <w:rPr>
                <w:rFonts w:ascii="Times New Roman" w:hAnsi="Times New Roman" w:cs="Times New Roman"/>
              </w:rPr>
              <w:t xml:space="preserve"> ustawy o sus</w:t>
            </w:r>
          </w:p>
        </w:tc>
        <w:tc>
          <w:tcPr>
            <w:tcW w:w="1559" w:type="dxa"/>
            <w:vAlign w:val="center"/>
          </w:tcPr>
          <w:p w14:paraId="5AC5A280" w14:textId="616F92C4" w:rsidR="00F0743A" w:rsidRPr="000212FA" w:rsidRDefault="00F0743A" w:rsidP="003318FC">
            <w:pPr>
              <w:spacing w:after="0" w:line="240" w:lineRule="auto"/>
              <w:jc w:val="both"/>
              <w:rPr>
                <w:rFonts w:ascii="Times New Roman" w:hAnsi="Times New Roman" w:cs="Times New Roman"/>
              </w:rPr>
            </w:pPr>
            <w:r w:rsidRPr="000212FA">
              <w:rPr>
                <w:rFonts w:ascii="Times New Roman" w:hAnsi="Times New Roman" w:cs="Times New Roman"/>
              </w:rPr>
              <w:lastRenderedPageBreak/>
              <w:t>RCL</w:t>
            </w:r>
          </w:p>
        </w:tc>
        <w:tc>
          <w:tcPr>
            <w:tcW w:w="4536" w:type="dxa"/>
          </w:tcPr>
          <w:p w14:paraId="6AF7F37F" w14:textId="3E9C6EDD" w:rsidR="00F0743A" w:rsidRPr="000212FA" w:rsidRDefault="00557AD9" w:rsidP="003318FC">
            <w:pPr>
              <w:autoSpaceDE w:val="0"/>
              <w:autoSpaceDN w:val="0"/>
              <w:adjustRightInd w:val="0"/>
              <w:spacing w:after="0" w:line="240" w:lineRule="auto"/>
              <w:jc w:val="both"/>
              <w:rPr>
                <w:rFonts w:ascii="Times New Roman" w:hAnsi="Times New Roman" w:cs="Times New Roman"/>
              </w:rPr>
            </w:pPr>
            <w:r w:rsidRPr="000212FA">
              <w:rPr>
                <w:rFonts w:ascii="Times New Roman" w:hAnsi="Times New Roman" w:cs="Times New Roman"/>
              </w:rPr>
              <w:t xml:space="preserve">Ze względu na daleko posuniętą ogólnikowość formułowanej normy prawnej wątpliwości budzi proponowany w art. 1 pkt 7 projektu dodawany art. 85a ust. 1 </w:t>
            </w:r>
            <w:r w:rsidRPr="000212FA">
              <w:rPr>
                <w:rFonts w:ascii="Times New Roman" w:hAnsi="Times New Roman" w:cs="Times New Roman"/>
                <w:i/>
                <w:iCs/>
              </w:rPr>
              <w:t>ustawy z dnia</w:t>
            </w:r>
            <w:r w:rsidRPr="000212FA">
              <w:rPr>
                <w:rFonts w:ascii="Times New Roman" w:hAnsi="Times New Roman" w:cs="Times New Roman"/>
              </w:rPr>
              <w:t xml:space="preserve"> </w:t>
            </w:r>
            <w:r w:rsidRPr="000212FA">
              <w:rPr>
                <w:rFonts w:ascii="Times New Roman" w:hAnsi="Times New Roman" w:cs="Times New Roman"/>
                <w:i/>
                <w:iCs/>
              </w:rPr>
              <w:t>13 października 1998 r. o systemie ubezpieczeń społecznych</w:t>
            </w:r>
            <w:r w:rsidRPr="000212FA">
              <w:rPr>
                <w:rFonts w:ascii="Times New Roman" w:hAnsi="Times New Roman" w:cs="Times New Roman"/>
              </w:rPr>
              <w:t xml:space="preserve">. Przepis ten stanowi, że </w:t>
            </w:r>
            <w:r w:rsidRPr="000212FA">
              <w:rPr>
                <w:rFonts w:ascii="Times New Roman" w:hAnsi="Times New Roman" w:cs="Times New Roman"/>
                <w:i/>
                <w:iCs/>
              </w:rPr>
              <w:t>„Prezes</w:t>
            </w:r>
            <w:r w:rsidRPr="000212FA">
              <w:rPr>
                <w:rFonts w:ascii="Times New Roman" w:hAnsi="Times New Roman" w:cs="Times New Roman"/>
              </w:rPr>
              <w:t xml:space="preserve"> </w:t>
            </w:r>
            <w:r w:rsidRPr="000212FA">
              <w:rPr>
                <w:rFonts w:ascii="Times New Roman" w:hAnsi="Times New Roman" w:cs="Times New Roman"/>
                <w:i/>
                <w:iCs/>
              </w:rPr>
              <w:t xml:space="preserve">Zakładu tworzy i znosi </w:t>
            </w:r>
            <w:r w:rsidRPr="000212FA">
              <w:rPr>
                <w:rFonts w:ascii="Times New Roman" w:hAnsi="Times New Roman" w:cs="Times New Roman"/>
                <w:i/>
                <w:iCs/>
              </w:rPr>
              <w:lastRenderedPageBreak/>
              <w:t>centra orzecznicze oraz określa oddziały Zakładu będące ich siedzibą</w:t>
            </w:r>
            <w:r w:rsidRPr="000212FA">
              <w:rPr>
                <w:rFonts w:ascii="Times New Roman" w:hAnsi="Times New Roman" w:cs="Times New Roman"/>
              </w:rPr>
              <w:t xml:space="preserve"> </w:t>
            </w:r>
            <w:r w:rsidRPr="000212FA">
              <w:rPr>
                <w:rFonts w:ascii="Times New Roman" w:hAnsi="Times New Roman" w:cs="Times New Roman"/>
                <w:i/>
                <w:iCs/>
              </w:rPr>
              <w:t>i właściwość terytorialną, biorąc w szczególności pod uwagę względy ich dostępności dla</w:t>
            </w:r>
            <w:r w:rsidRPr="000212FA">
              <w:rPr>
                <w:rFonts w:ascii="Times New Roman" w:hAnsi="Times New Roman" w:cs="Times New Roman"/>
              </w:rPr>
              <w:t xml:space="preserve"> </w:t>
            </w:r>
            <w:r w:rsidRPr="000212FA">
              <w:rPr>
                <w:rFonts w:ascii="Times New Roman" w:hAnsi="Times New Roman" w:cs="Times New Roman"/>
                <w:i/>
                <w:iCs/>
              </w:rPr>
              <w:t>osób zainteresowanych i potrzebę zapewnienia odpowiedniej obsady kadrowej”</w:t>
            </w:r>
            <w:r w:rsidRPr="000212FA">
              <w:rPr>
                <w:rFonts w:ascii="Times New Roman" w:hAnsi="Times New Roman" w:cs="Times New Roman"/>
              </w:rPr>
              <w:t xml:space="preserve">, co ma na celu </w:t>
            </w:r>
            <w:r w:rsidRPr="000212FA">
              <w:rPr>
                <w:rFonts w:ascii="Times New Roman" w:hAnsi="Times New Roman" w:cs="Times New Roman"/>
                <w:i/>
                <w:iCs/>
              </w:rPr>
              <w:t>„konsolidację zadań związanych z wydawaniem orzeczeń oraz realizacją</w:t>
            </w:r>
            <w:r w:rsidRPr="000212FA">
              <w:rPr>
                <w:rFonts w:ascii="Times New Roman" w:hAnsi="Times New Roman" w:cs="Times New Roman"/>
              </w:rPr>
              <w:t xml:space="preserve"> </w:t>
            </w:r>
            <w:r w:rsidRPr="000212FA">
              <w:rPr>
                <w:rFonts w:ascii="Times New Roman" w:hAnsi="Times New Roman" w:cs="Times New Roman"/>
                <w:i/>
                <w:iCs/>
              </w:rPr>
              <w:t xml:space="preserve">bezpośredniego nadzoru nad orzecznictwem” </w:t>
            </w:r>
            <w:r w:rsidRPr="000212FA">
              <w:rPr>
                <w:rFonts w:ascii="Times New Roman" w:hAnsi="Times New Roman" w:cs="Times New Roman"/>
              </w:rPr>
              <w:t xml:space="preserve">(str. 13 akapit czwarty uzasadnienia). Jednocześnie wskazano, że </w:t>
            </w:r>
            <w:r w:rsidRPr="000212FA">
              <w:rPr>
                <w:rFonts w:ascii="Times New Roman" w:hAnsi="Times New Roman" w:cs="Times New Roman"/>
                <w:i/>
                <w:iCs/>
              </w:rPr>
              <w:t>„Centra orzecznicze będą tworzone na mocy wewnętrznych</w:t>
            </w:r>
            <w:r w:rsidRPr="000212FA">
              <w:rPr>
                <w:rFonts w:ascii="Times New Roman" w:hAnsi="Times New Roman" w:cs="Times New Roman"/>
              </w:rPr>
              <w:t xml:space="preserve"> </w:t>
            </w:r>
            <w:r w:rsidRPr="000212FA">
              <w:rPr>
                <w:rFonts w:ascii="Times New Roman" w:hAnsi="Times New Roman" w:cs="Times New Roman"/>
                <w:i/>
                <w:iCs/>
              </w:rPr>
              <w:t xml:space="preserve">aktów prawnych wydawanych przez Prezesa ZUS” </w:t>
            </w:r>
            <w:r w:rsidRPr="000212FA">
              <w:rPr>
                <w:rFonts w:ascii="Times New Roman" w:hAnsi="Times New Roman" w:cs="Times New Roman"/>
              </w:rPr>
              <w:t xml:space="preserve">(str. 13 akapit czwarty uzasadnienia). Biorąc jednak pod uwagę zadania, jakie mają być realizowane w ww. centrach orzeczniczych, co wynika z projektowanego art. 85a ust. 2 </w:t>
            </w:r>
            <w:r w:rsidRPr="000212FA">
              <w:rPr>
                <w:rFonts w:ascii="Times New Roman" w:hAnsi="Times New Roman" w:cs="Times New Roman"/>
                <w:i/>
                <w:iCs/>
              </w:rPr>
              <w:t>ustawy z dnia 13 października</w:t>
            </w:r>
            <w:r w:rsidRPr="000212FA">
              <w:rPr>
                <w:rFonts w:ascii="Times New Roman" w:hAnsi="Times New Roman" w:cs="Times New Roman"/>
              </w:rPr>
              <w:t xml:space="preserve"> </w:t>
            </w:r>
            <w:r w:rsidRPr="000212FA">
              <w:rPr>
                <w:rFonts w:ascii="Times New Roman" w:hAnsi="Times New Roman" w:cs="Times New Roman"/>
                <w:i/>
                <w:iCs/>
              </w:rPr>
              <w:t xml:space="preserve">1998 r. o systemie ubezpieczeń społecznych </w:t>
            </w:r>
            <w:r w:rsidRPr="000212FA">
              <w:rPr>
                <w:rFonts w:ascii="Times New Roman" w:hAnsi="Times New Roman" w:cs="Times New Roman"/>
              </w:rPr>
              <w:t xml:space="preserve">(tj. wydawanie orzeczeń dla potrzeb ustalania uprawnień do świadczeń z ubezpieczeń społecznych, innych świadczeń należących do właściwości Zakładu oraz dla celów realizacji zadań zleconych Zakładowi na podstawie innych ustaw, a także kontrola orzecznictwa o czasowej niezdolności do pracy), ustawowe regulacje dotyczące tych centrów wydają się niewystarczające. Na podstawie projektowanych przepisów ustawowych nie jest bowiem możliwe określenie zasad tworzenia ww. centrów, czy też warunków ich funkcjonowania. W szczególności wątpliwości budzi przekazywanie do określenia w akcie wykonawczym szczegółowych zasad orzekania oraz szczegółowych zasad organizacji orzecznictwa lekarskiego w Zakładzie (projektowany art. 85a ust. 4 w </w:t>
            </w:r>
            <w:r w:rsidRPr="000212FA">
              <w:rPr>
                <w:rFonts w:ascii="Times New Roman" w:hAnsi="Times New Roman" w:cs="Times New Roman"/>
                <w:i/>
                <w:iCs/>
              </w:rPr>
              <w:t xml:space="preserve">ustawie z dnia 13 </w:t>
            </w:r>
            <w:r w:rsidRPr="000212FA">
              <w:rPr>
                <w:rFonts w:ascii="Times New Roman" w:hAnsi="Times New Roman" w:cs="Times New Roman"/>
                <w:i/>
                <w:iCs/>
              </w:rPr>
              <w:lastRenderedPageBreak/>
              <w:t>października 1998 r.</w:t>
            </w:r>
            <w:r w:rsidRPr="000212FA">
              <w:rPr>
                <w:rFonts w:ascii="Times New Roman" w:hAnsi="Times New Roman" w:cs="Times New Roman"/>
              </w:rPr>
              <w:t xml:space="preserve"> </w:t>
            </w:r>
            <w:r w:rsidRPr="000212FA">
              <w:rPr>
                <w:rFonts w:ascii="Times New Roman" w:hAnsi="Times New Roman" w:cs="Times New Roman"/>
                <w:i/>
                <w:iCs/>
              </w:rPr>
              <w:t>o systemie ubezpieczeń społecznych</w:t>
            </w:r>
            <w:r w:rsidRPr="000212FA">
              <w:rPr>
                <w:rFonts w:ascii="Times New Roman" w:hAnsi="Times New Roman" w:cs="Times New Roman"/>
              </w:rPr>
              <w:t xml:space="preserve">), gdyż taka regulacja może być uznana za blankietową (niezależnie od tego, że nie wynika z niej jasno, czy miałaby ona dotyczyć centrów orzecznictwa). Tym samym zasadne jest dookreślenie ustawowych regulacji w powyższym zakresie tak, aby przepisy upoważniające nie obligowały do określenia </w:t>
            </w:r>
            <w:r w:rsidRPr="000212FA">
              <w:rPr>
                <w:rFonts w:ascii="Times New Roman" w:hAnsi="Times New Roman" w:cs="Times New Roman"/>
                <w:i/>
                <w:iCs/>
              </w:rPr>
              <w:t xml:space="preserve">„zasad” </w:t>
            </w:r>
            <w:r w:rsidRPr="000212FA">
              <w:rPr>
                <w:rFonts w:ascii="Times New Roman" w:hAnsi="Times New Roman" w:cs="Times New Roman"/>
              </w:rPr>
              <w:t xml:space="preserve">w akcie </w:t>
            </w:r>
            <w:proofErr w:type="spellStart"/>
            <w:r w:rsidRPr="000212FA">
              <w:rPr>
                <w:rFonts w:ascii="Times New Roman" w:hAnsi="Times New Roman" w:cs="Times New Roman"/>
              </w:rPr>
              <w:t>podustawowym</w:t>
            </w:r>
            <w:proofErr w:type="spellEnd"/>
            <w:r w:rsidRPr="000212FA">
              <w:rPr>
                <w:rFonts w:ascii="Times New Roman" w:hAnsi="Times New Roman" w:cs="Times New Roman"/>
              </w:rPr>
              <w:t>, jak również mając na uwadze strukturę Zakładu, która obecnie jest określona ustawowo.</w:t>
            </w:r>
          </w:p>
        </w:tc>
        <w:tc>
          <w:tcPr>
            <w:tcW w:w="3402" w:type="dxa"/>
            <w:vAlign w:val="center"/>
          </w:tcPr>
          <w:p w14:paraId="454537A9" w14:textId="77777777" w:rsidR="00F0743A" w:rsidRPr="000212FA" w:rsidRDefault="00F0743A" w:rsidP="003318FC">
            <w:pPr>
              <w:spacing w:after="0" w:line="240" w:lineRule="auto"/>
              <w:jc w:val="both"/>
              <w:rPr>
                <w:rFonts w:ascii="Times New Roman" w:hAnsi="Times New Roman" w:cs="Times New Roman"/>
              </w:rPr>
            </w:pPr>
          </w:p>
        </w:tc>
        <w:tc>
          <w:tcPr>
            <w:tcW w:w="4253" w:type="dxa"/>
          </w:tcPr>
          <w:p w14:paraId="0F2D212B" w14:textId="3EA400FA" w:rsidR="00E60663" w:rsidRPr="000212FA" w:rsidRDefault="00843CEC" w:rsidP="003318FC">
            <w:pPr>
              <w:pStyle w:val="Akapitzlist"/>
              <w:numPr>
                <w:ilvl w:val="0"/>
                <w:numId w:val="7"/>
              </w:numPr>
              <w:spacing w:after="0" w:line="240" w:lineRule="auto"/>
              <w:ind w:left="0"/>
              <w:jc w:val="both"/>
              <w:rPr>
                <w:rFonts w:ascii="Times New Roman" w:hAnsi="Times New Roman" w:cs="Times New Roman"/>
                <w:b/>
                <w:bCs/>
                <w:color w:val="000000" w:themeColor="text1"/>
              </w:rPr>
            </w:pPr>
            <w:r w:rsidRPr="000212FA">
              <w:rPr>
                <w:rFonts w:ascii="Times New Roman" w:hAnsi="Times New Roman" w:cs="Times New Roman"/>
                <w:b/>
                <w:bCs/>
                <w:color w:val="000000" w:themeColor="text1"/>
              </w:rPr>
              <w:t xml:space="preserve">Uwaga </w:t>
            </w:r>
            <w:r w:rsidR="00174C60" w:rsidRPr="000212FA">
              <w:rPr>
                <w:rFonts w:ascii="Times New Roman" w:hAnsi="Times New Roman" w:cs="Times New Roman"/>
                <w:b/>
                <w:bCs/>
                <w:color w:val="000000" w:themeColor="text1"/>
              </w:rPr>
              <w:t>u</w:t>
            </w:r>
            <w:r w:rsidRPr="000212FA">
              <w:rPr>
                <w:rFonts w:ascii="Times New Roman" w:hAnsi="Times New Roman" w:cs="Times New Roman"/>
                <w:b/>
                <w:bCs/>
                <w:color w:val="000000" w:themeColor="text1"/>
              </w:rPr>
              <w:t>względniona.</w:t>
            </w:r>
          </w:p>
          <w:p w14:paraId="7AC14599" w14:textId="32B30E67" w:rsidR="00567B9F" w:rsidRPr="000212FA" w:rsidRDefault="00567B9F" w:rsidP="003318FC">
            <w:pPr>
              <w:spacing w:after="0" w:line="240" w:lineRule="auto"/>
              <w:jc w:val="both"/>
              <w:rPr>
                <w:rFonts w:ascii="Times New Roman" w:hAnsi="Times New Roman" w:cs="Times New Roman"/>
              </w:rPr>
            </w:pPr>
          </w:p>
          <w:p w14:paraId="32836BC1" w14:textId="2A99BD9E" w:rsidR="0061375B" w:rsidRPr="000212FA" w:rsidRDefault="0061375B" w:rsidP="003318FC">
            <w:pPr>
              <w:spacing w:after="0" w:line="240" w:lineRule="auto"/>
              <w:jc w:val="both"/>
              <w:rPr>
                <w:rFonts w:ascii="Times New Roman" w:hAnsi="Times New Roman" w:cs="Times New Roman"/>
              </w:rPr>
            </w:pPr>
            <w:r w:rsidRPr="000212FA">
              <w:rPr>
                <w:rFonts w:ascii="Times New Roman" w:hAnsi="Times New Roman" w:cs="Times New Roman"/>
              </w:rPr>
              <w:t xml:space="preserve">Uwaga uwzględniona w </w:t>
            </w:r>
            <w:r w:rsidR="00CF275F" w:rsidRPr="000212FA">
              <w:rPr>
                <w:rFonts w:ascii="Times New Roman" w:hAnsi="Times New Roman" w:cs="Times New Roman"/>
              </w:rPr>
              <w:t xml:space="preserve">zakresie dotyczącym </w:t>
            </w:r>
            <w:r w:rsidRPr="000212FA">
              <w:rPr>
                <w:rFonts w:ascii="Times New Roman" w:hAnsi="Times New Roman" w:cs="Times New Roman"/>
              </w:rPr>
              <w:t>umiejscowienia norm kompetencyjnych w ustawie, nie zaś w akcie wykonawczym.</w:t>
            </w:r>
          </w:p>
          <w:p w14:paraId="75308FFA" w14:textId="2D272DE8" w:rsidR="00843CEC" w:rsidRPr="000212FA" w:rsidRDefault="00156075" w:rsidP="003318FC">
            <w:pPr>
              <w:spacing w:after="0" w:line="240" w:lineRule="auto"/>
              <w:jc w:val="both"/>
              <w:rPr>
                <w:rFonts w:ascii="Times New Roman" w:hAnsi="Times New Roman" w:cs="Times New Roman"/>
              </w:rPr>
            </w:pPr>
            <w:r w:rsidRPr="000212FA">
              <w:rPr>
                <w:rFonts w:ascii="Times New Roman" w:hAnsi="Times New Roman" w:cs="Times New Roman"/>
              </w:rPr>
              <w:lastRenderedPageBreak/>
              <w:t>Dodatkowo wyjaśniamy, że s</w:t>
            </w:r>
            <w:r w:rsidR="00843CEC" w:rsidRPr="000212FA">
              <w:rPr>
                <w:rFonts w:ascii="Times New Roman" w:hAnsi="Times New Roman" w:cs="Times New Roman"/>
              </w:rPr>
              <w:t xml:space="preserve">truktura </w:t>
            </w:r>
            <w:r w:rsidR="005B4A9A" w:rsidRPr="000212FA">
              <w:rPr>
                <w:rFonts w:ascii="Times New Roman" w:hAnsi="Times New Roman" w:cs="Times New Roman"/>
              </w:rPr>
              <w:t>ZUS</w:t>
            </w:r>
            <w:r w:rsidR="00843CEC" w:rsidRPr="000212FA">
              <w:rPr>
                <w:rFonts w:ascii="Times New Roman" w:hAnsi="Times New Roman" w:cs="Times New Roman"/>
              </w:rPr>
              <w:t>, będącego państwową jednostką organizacyjną i posiadającą osobowość prawną</w:t>
            </w:r>
            <w:r w:rsidR="006B7486" w:rsidRPr="000212FA">
              <w:rPr>
                <w:rFonts w:ascii="Times New Roman" w:hAnsi="Times New Roman" w:cs="Times New Roman"/>
              </w:rPr>
              <w:t xml:space="preserve">, w aktach ustawowych została uregulowana </w:t>
            </w:r>
            <w:r w:rsidR="00DE4DAF" w:rsidRPr="000212FA">
              <w:rPr>
                <w:rFonts w:ascii="Times New Roman" w:hAnsi="Times New Roman" w:cs="Times New Roman"/>
              </w:rPr>
              <w:t>jedynie</w:t>
            </w:r>
            <w:r w:rsidR="0096497A" w:rsidRPr="000212FA">
              <w:rPr>
                <w:rFonts w:ascii="Times New Roman" w:hAnsi="Times New Roman" w:cs="Times New Roman"/>
              </w:rPr>
              <w:t xml:space="preserve"> </w:t>
            </w:r>
            <w:r w:rsidR="006B7486" w:rsidRPr="000212FA">
              <w:rPr>
                <w:rFonts w:ascii="Times New Roman" w:hAnsi="Times New Roman" w:cs="Times New Roman"/>
              </w:rPr>
              <w:t>ogólnikowo</w:t>
            </w:r>
            <w:r w:rsidR="00843CEC" w:rsidRPr="000212FA">
              <w:rPr>
                <w:rFonts w:ascii="Times New Roman" w:hAnsi="Times New Roman" w:cs="Times New Roman"/>
              </w:rPr>
              <w:t>. Zgodnie z</w:t>
            </w:r>
            <w:r w:rsidR="006B7486" w:rsidRPr="000212FA">
              <w:rPr>
                <w:rFonts w:ascii="Times New Roman" w:hAnsi="Times New Roman" w:cs="Times New Roman"/>
              </w:rPr>
              <w:t xml:space="preserve"> art. 67 </w:t>
            </w:r>
            <w:proofErr w:type="spellStart"/>
            <w:r w:rsidR="006B7486" w:rsidRPr="000212FA">
              <w:rPr>
                <w:rFonts w:ascii="Times New Roman" w:hAnsi="Times New Roman" w:cs="Times New Roman"/>
              </w:rPr>
              <w:t>u.s.u.s</w:t>
            </w:r>
            <w:proofErr w:type="spellEnd"/>
            <w:r w:rsidR="006B7486" w:rsidRPr="000212FA">
              <w:rPr>
                <w:rFonts w:ascii="Times New Roman" w:hAnsi="Times New Roman" w:cs="Times New Roman"/>
              </w:rPr>
              <w:t>.</w:t>
            </w:r>
            <w:r w:rsidR="00843CEC" w:rsidRPr="000212FA">
              <w:rPr>
                <w:rFonts w:ascii="Times New Roman" w:hAnsi="Times New Roman" w:cs="Times New Roman"/>
              </w:rPr>
              <w:t>, w skład ZUS wchodzi jego Centrala oraz terenowe jednostki</w:t>
            </w:r>
            <w:r w:rsidR="00DE4DAF" w:rsidRPr="000212FA">
              <w:rPr>
                <w:rFonts w:ascii="Times New Roman" w:hAnsi="Times New Roman" w:cs="Times New Roman"/>
              </w:rPr>
              <w:t xml:space="preserve"> </w:t>
            </w:r>
            <w:r w:rsidR="00843CEC" w:rsidRPr="000212FA">
              <w:rPr>
                <w:rFonts w:ascii="Times New Roman" w:hAnsi="Times New Roman" w:cs="Times New Roman"/>
              </w:rPr>
              <w:t>organizacyjne</w:t>
            </w:r>
            <w:r w:rsidR="006B7486" w:rsidRPr="000212FA">
              <w:rPr>
                <w:rFonts w:ascii="Times New Roman" w:hAnsi="Times New Roman" w:cs="Times New Roman"/>
              </w:rPr>
              <w:t xml:space="preserve">. Uszczegółowienie tej struktury oraz </w:t>
            </w:r>
            <w:r w:rsidR="0096497A" w:rsidRPr="000212FA">
              <w:rPr>
                <w:rFonts w:ascii="Times New Roman" w:hAnsi="Times New Roman" w:cs="Times New Roman"/>
              </w:rPr>
              <w:t xml:space="preserve">sprecyzowanie </w:t>
            </w:r>
            <w:r w:rsidR="006B7486" w:rsidRPr="000212FA">
              <w:rPr>
                <w:rFonts w:ascii="Times New Roman" w:hAnsi="Times New Roman" w:cs="Times New Roman"/>
              </w:rPr>
              <w:t>zakres</w:t>
            </w:r>
            <w:r w:rsidR="0096497A" w:rsidRPr="000212FA">
              <w:rPr>
                <w:rFonts w:ascii="Times New Roman" w:hAnsi="Times New Roman" w:cs="Times New Roman"/>
              </w:rPr>
              <w:t>u</w:t>
            </w:r>
            <w:r w:rsidR="006B7486" w:rsidRPr="000212FA">
              <w:rPr>
                <w:rFonts w:ascii="Times New Roman" w:hAnsi="Times New Roman" w:cs="Times New Roman"/>
              </w:rPr>
              <w:t xml:space="preserve"> rzeczow</w:t>
            </w:r>
            <w:r w:rsidR="0096497A" w:rsidRPr="000212FA">
              <w:rPr>
                <w:rFonts w:ascii="Times New Roman" w:hAnsi="Times New Roman" w:cs="Times New Roman"/>
              </w:rPr>
              <w:t>ego</w:t>
            </w:r>
            <w:r w:rsidR="006B7486" w:rsidRPr="000212FA">
              <w:rPr>
                <w:rFonts w:ascii="Times New Roman" w:hAnsi="Times New Roman" w:cs="Times New Roman"/>
              </w:rPr>
              <w:t xml:space="preserve"> działania centrali i terenowych jednostek organizacyjnych znajduje się </w:t>
            </w:r>
            <w:r w:rsidR="0096497A" w:rsidRPr="000212FA">
              <w:rPr>
                <w:rFonts w:ascii="Times New Roman" w:hAnsi="Times New Roman" w:cs="Times New Roman"/>
              </w:rPr>
              <w:t xml:space="preserve">natomiast w aktach niższego rzędu, tj. </w:t>
            </w:r>
            <w:r w:rsidR="006B7486" w:rsidRPr="000212FA">
              <w:rPr>
                <w:rFonts w:ascii="Times New Roman" w:hAnsi="Times New Roman" w:cs="Times New Roman"/>
              </w:rPr>
              <w:t xml:space="preserve">w Statucie Zakładu Ubezpieczeń Społecznych, nadanym rozporządzeniem Ministra Rodziny i Polityki Społecznej w sprawie nadania Statutu Zakładowi Ubezpieczeń Społecznych </w:t>
            </w:r>
            <w:r w:rsidR="0096497A" w:rsidRPr="000212FA">
              <w:rPr>
                <w:rFonts w:ascii="Times New Roman" w:hAnsi="Times New Roman" w:cs="Times New Roman"/>
              </w:rPr>
              <w:t>z 4 marca 2021 r. (Dz. U. z 2021 r. poz. 431) oraz wewnętrznych aktach prawnych ZUS.</w:t>
            </w:r>
          </w:p>
          <w:p w14:paraId="514719D2" w14:textId="425A1FDE" w:rsidR="00843CEC" w:rsidRPr="000212FA" w:rsidRDefault="0096497A" w:rsidP="003318FC">
            <w:pPr>
              <w:spacing w:after="0" w:line="240" w:lineRule="auto"/>
              <w:jc w:val="both"/>
              <w:rPr>
                <w:rFonts w:ascii="Times New Roman" w:hAnsi="Times New Roman" w:cs="Times New Roman"/>
              </w:rPr>
            </w:pPr>
            <w:r w:rsidRPr="000212FA">
              <w:rPr>
                <w:rFonts w:ascii="Times New Roman" w:hAnsi="Times New Roman" w:cs="Times New Roman"/>
              </w:rPr>
              <w:t xml:space="preserve">Przyjęta w tym zakresie konstrukcja, zgodnie z intencją ustawodawcy, zapewnia dużą elastyczność </w:t>
            </w:r>
            <w:r w:rsidR="00242B49" w:rsidRPr="000212FA">
              <w:rPr>
                <w:rFonts w:ascii="Times New Roman" w:hAnsi="Times New Roman" w:cs="Times New Roman"/>
              </w:rPr>
              <w:t>zarządzania</w:t>
            </w:r>
            <w:r w:rsidRPr="000212FA">
              <w:rPr>
                <w:rFonts w:ascii="Times New Roman" w:hAnsi="Times New Roman" w:cs="Times New Roman"/>
              </w:rPr>
              <w:t xml:space="preserve"> oraz możliwość efektywnego dostosowywania się organizacji do pojawiających się potrzeb i wyzwań</w:t>
            </w:r>
            <w:r w:rsidR="00242B49" w:rsidRPr="000212FA">
              <w:rPr>
                <w:rFonts w:ascii="Times New Roman" w:hAnsi="Times New Roman" w:cs="Times New Roman"/>
              </w:rPr>
              <w:t>, zarówno w sferze merytorycznej, jak i rozwiązań organizacyjnych</w:t>
            </w:r>
            <w:r w:rsidRPr="000212FA">
              <w:rPr>
                <w:rFonts w:ascii="Times New Roman" w:hAnsi="Times New Roman" w:cs="Times New Roman"/>
              </w:rPr>
              <w:t xml:space="preserve">. </w:t>
            </w:r>
            <w:r w:rsidR="00F131D5" w:rsidRPr="000212FA">
              <w:rPr>
                <w:rFonts w:ascii="Times New Roman" w:hAnsi="Times New Roman" w:cs="Times New Roman"/>
              </w:rPr>
              <w:t>Świadczy o tym m.in. treść art. 115 ustawy o emeryturach i rentach z Funduszu Ubezpieczeń Społecznych, któr</w:t>
            </w:r>
            <w:r w:rsidR="00242B49" w:rsidRPr="000212FA">
              <w:rPr>
                <w:rFonts w:ascii="Times New Roman" w:hAnsi="Times New Roman" w:cs="Times New Roman"/>
              </w:rPr>
              <w:t xml:space="preserve">ego treść </w:t>
            </w:r>
            <w:r w:rsidR="00F131D5" w:rsidRPr="000212FA">
              <w:rPr>
                <w:rFonts w:ascii="Times New Roman" w:hAnsi="Times New Roman" w:cs="Times New Roman"/>
              </w:rPr>
              <w:t xml:space="preserve"> umożliwia Prezesowi Zakładu wyznaczenie do załatwienia określonych czynności w sprawach świadczeń inne jednostki organizacyjne Zakładu niż jednostki właściwe ze względu na miejsce zamieszkania osoby zainteresowanej. </w:t>
            </w:r>
          </w:p>
          <w:p w14:paraId="5A9A5118" w14:textId="77777777" w:rsidR="00A033FA" w:rsidRPr="000212FA" w:rsidRDefault="00A033FA" w:rsidP="003318FC">
            <w:pPr>
              <w:spacing w:after="0" w:line="240" w:lineRule="auto"/>
              <w:jc w:val="both"/>
              <w:rPr>
                <w:rFonts w:ascii="Times New Roman" w:hAnsi="Times New Roman" w:cs="Times New Roman"/>
              </w:rPr>
            </w:pPr>
          </w:p>
          <w:p w14:paraId="0B753739" w14:textId="3F25F27F" w:rsidR="00AF2563" w:rsidRPr="000212FA" w:rsidRDefault="00AF2563" w:rsidP="003318FC">
            <w:pPr>
              <w:spacing w:after="0" w:line="240" w:lineRule="auto"/>
              <w:jc w:val="both"/>
              <w:rPr>
                <w:rFonts w:ascii="Times New Roman" w:hAnsi="Times New Roman" w:cs="Times New Roman"/>
              </w:rPr>
            </w:pPr>
          </w:p>
        </w:tc>
      </w:tr>
      <w:tr w:rsidR="00F0743A" w:rsidRPr="000212FA" w14:paraId="3F7B5CB2" w14:textId="77777777" w:rsidTr="003318FC">
        <w:tc>
          <w:tcPr>
            <w:tcW w:w="567" w:type="dxa"/>
          </w:tcPr>
          <w:p w14:paraId="0945DA3E" w14:textId="77777777" w:rsidR="00F0743A" w:rsidRPr="000212FA" w:rsidRDefault="00F0743A" w:rsidP="003318FC">
            <w:pPr>
              <w:pStyle w:val="Akapitzlist"/>
              <w:numPr>
                <w:ilvl w:val="0"/>
                <w:numId w:val="1"/>
              </w:numPr>
              <w:spacing w:after="0" w:line="240" w:lineRule="auto"/>
              <w:ind w:left="0" w:firstLine="0"/>
              <w:jc w:val="both"/>
              <w:rPr>
                <w:rFonts w:ascii="Times New Roman" w:hAnsi="Times New Roman" w:cs="Times New Roman"/>
                <w:b/>
              </w:rPr>
            </w:pPr>
          </w:p>
        </w:tc>
        <w:tc>
          <w:tcPr>
            <w:tcW w:w="1418" w:type="dxa"/>
            <w:vAlign w:val="center"/>
          </w:tcPr>
          <w:p w14:paraId="57D2243C" w14:textId="3CBB9555" w:rsidR="00F0743A" w:rsidRPr="000212FA" w:rsidRDefault="00F0743A" w:rsidP="003318FC">
            <w:pPr>
              <w:spacing w:after="0" w:line="240" w:lineRule="auto"/>
              <w:jc w:val="both"/>
              <w:rPr>
                <w:rFonts w:ascii="Times New Roman" w:hAnsi="Times New Roman" w:cs="Times New Roman"/>
              </w:rPr>
            </w:pPr>
            <w:r w:rsidRPr="000212FA">
              <w:rPr>
                <w:rFonts w:ascii="Times New Roman" w:hAnsi="Times New Roman" w:cs="Times New Roman"/>
              </w:rPr>
              <w:t>Art. 1 pkt 7 projektu w zakresie art. 85b ust. 1 i 2</w:t>
            </w:r>
            <w:r w:rsidR="00557AD9" w:rsidRPr="000212FA">
              <w:rPr>
                <w:rFonts w:ascii="Times New Roman" w:hAnsi="Times New Roman" w:cs="Times New Roman"/>
              </w:rPr>
              <w:t xml:space="preserve"> ustawy o sus</w:t>
            </w:r>
          </w:p>
        </w:tc>
        <w:tc>
          <w:tcPr>
            <w:tcW w:w="1559" w:type="dxa"/>
            <w:vAlign w:val="center"/>
          </w:tcPr>
          <w:p w14:paraId="33C4F5FA" w14:textId="7DA76CC7" w:rsidR="00F0743A" w:rsidRPr="000212FA" w:rsidRDefault="00F0743A" w:rsidP="003318FC">
            <w:pPr>
              <w:spacing w:after="0" w:line="240" w:lineRule="auto"/>
              <w:jc w:val="both"/>
              <w:rPr>
                <w:rFonts w:ascii="Times New Roman" w:hAnsi="Times New Roman" w:cs="Times New Roman"/>
              </w:rPr>
            </w:pPr>
            <w:r w:rsidRPr="000212FA">
              <w:rPr>
                <w:rFonts w:ascii="Times New Roman" w:hAnsi="Times New Roman" w:cs="Times New Roman"/>
              </w:rPr>
              <w:t>RCL</w:t>
            </w:r>
          </w:p>
        </w:tc>
        <w:tc>
          <w:tcPr>
            <w:tcW w:w="4536" w:type="dxa"/>
          </w:tcPr>
          <w:p w14:paraId="261D4C0B" w14:textId="1861E5FE" w:rsidR="00F0743A" w:rsidRPr="000212FA" w:rsidRDefault="00557AD9" w:rsidP="003318FC">
            <w:pPr>
              <w:autoSpaceDE w:val="0"/>
              <w:autoSpaceDN w:val="0"/>
              <w:adjustRightInd w:val="0"/>
              <w:spacing w:after="0" w:line="240" w:lineRule="auto"/>
              <w:jc w:val="both"/>
              <w:rPr>
                <w:rFonts w:ascii="Times New Roman" w:hAnsi="Times New Roman" w:cs="Times New Roman"/>
              </w:rPr>
            </w:pPr>
            <w:r w:rsidRPr="000212FA">
              <w:rPr>
                <w:rFonts w:ascii="Times New Roman" w:hAnsi="Times New Roman" w:cs="Times New Roman"/>
              </w:rPr>
              <w:t xml:space="preserve">W art. 1 pkt 7 projektu w dodawanym art. 85b w </w:t>
            </w:r>
            <w:r w:rsidRPr="000212FA">
              <w:rPr>
                <w:rFonts w:ascii="Times New Roman" w:hAnsi="Times New Roman" w:cs="Times New Roman"/>
                <w:i/>
                <w:iCs/>
              </w:rPr>
              <w:t xml:space="preserve">ustawie z dnia 13 października 1998 r. o systemie ubezpieczeń społecznych </w:t>
            </w:r>
            <w:r w:rsidRPr="000212FA">
              <w:rPr>
                <w:rFonts w:ascii="Times New Roman" w:hAnsi="Times New Roman" w:cs="Times New Roman"/>
              </w:rPr>
              <w:t>wskazuje się, na jakiej podstawie prawnej (tj. umowie o pracę lub umowie o świadczenie usług) lekarze orzecznicy oraz specjaliści wykonujący</w:t>
            </w:r>
            <w:r w:rsidRPr="000212FA">
              <w:rPr>
                <w:rFonts w:ascii="Times New Roman" w:hAnsi="Times New Roman" w:cs="Times New Roman"/>
                <w:i/>
                <w:iCs/>
              </w:rPr>
              <w:t xml:space="preserve"> </w:t>
            </w:r>
            <w:r w:rsidRPr="000212FA">
              <w:rPr>
                <w:rFonts w:ascii="Times New Roman" w:hAnsi="Times New Roman" w:cs="Times New Roman"/>
              </w:rPr>
              <w:t>samodzielne zawody medyczne realizują zadania określone w przepisach ustawy (ust. 1).</w:t>
            </w:r>
            <w:r w:rsidRPr="000212FA">
              <w:rPr>
                <w:rFonts w:ascii="Times New Roman" w:hAnsi="Times New Roman" w:cs="Times New Roman"/>
                <w:i/>
                <w:iCs/>
              </w:rPr>
              <w:t xml:space="preserve"> </w:t>
            </w:r>
            <w:r w:rsidRPr="000212FA">
              <w:rPr>
                <w:rFonts w:ascii="Times New Roman" w:hAnsi="Times New Roman" w:cs="Times New Roman"/>
              </w:rPr>
              <w:t>Ponadto wskazano umowę o pracę, jako wyłączną podstawę w odniesieniu do Naczelnego</w:t>
            </w:r>
            <w:r w:rsidRPr="000212FA">
              <w:rPr>
                <w:rFonts w:ascii="Times New Roman" w:hAnsi="Times New Roman" w:cs="Times New Roman"/>
                <w:i/>
                <w:iCs/>
              </w:rPr>
              <w:t xml:space="preserve"> </w:t>
            </w:r>
            <w:r w:rsidRPr="000212FA">
              <w:rPr>
                <w:rFonts w:ascii="Times New Roman" w:hAnsi="Times New Roman" w:cs="Times New Roman"/>
              </w:rPr>
              <w:t>Lekarza Zakładu, lekarza inspektora nadzoru orzecznictwa lekarskiego, głównego lekarza</w:t>
            </w:r>
            <w:r w:rsidRPr="000212FA">
              <w:rPr>
                <w:rFonts w:ascii="Times New Roman" w:hAnsi="Times New Roman" w:cs="Times New Roman"/>
                <w:i/>
                <w:iCs/>
              </w:rPr>
              <w:t xml:space="preserve"> </w:t>
            </w:r>
            <w:r w:rsidRPr="000212FA">
              <w:rPr>
                <w:rFonts w:ascii="Times New Roman" w:hAnsi="Times New Roman" w:cs="Times New Roman"/>
              </w:rPr>
              <w:t>orzecznika oraz zastępcy głównego lekarza orzecznika (ust. 2). Tego rodzaju zróżnicowanie</w:t>
            </w:r>
            <w:r w:rsidRPr="000212FA">
              <w:rPr>
                <w:rFonts w:ascii="Times New Roman" w:hAnsi="Times New Roman" w:cs="Times New Roman"/>
                <w:i/>
                <w:iCs/>
              </w:rPr>
              <w:t xml:space="preserve"> </w:t>
            </w:r>
            <w:r w:rsidRPr="000212FA">
              <w:rPr>
                <w:rFonts w:ascii="Times New Roman" w:hAnsi="Times New Roman" w:cs="Times New Roman"/>
              </w:rPr>
              <w:t>w sytuacji, gdy przedmiot umowy jest tożsamy, a dodatkową konsekwencją zawarcia</w:t>
            </w:r>
            <w:r w:rsidRPr="000212FA">
              <w:rPr>
                <w:rFonts w:ascii="Times New Roman" w:hAnsi="Times New Roman" w:cs="Times New Roman"/>
                <w:i/>
                <w:iCs/>
              </w:rPr>
              <w:t xml:space="preserve"> </w:t>
            </w:r>
            <w:r w:rsidRPr="000212FA">
              <w:rPr>
                <w:rFonts w:ascii="Times New Roman" w:hAnsi="Times New Roman" w:cs="Times New Roman"/>
              </w:rPr>
              <w:t>umowy o pracę będzie nabycie określonych uprawnień pracowniczych wynikających z</w:t>
            </w:r>
            <w:r w:rsidRPr="000212FA">
              <w:rPr>
                <w:rFonts w:ascii="Times New Roman" w:hAnsi="Times New Roman" w:cs="Times New Roman"/>
                <w:i/>
                <w:iCs/>
              </w:rPr>
              <w:t xml:space="preserve"> </w:t>
            </w:r>
            <w:r w:rsidRPr="000212FA">
              <w:rPr>
                <w:rFonts w:ascii="Times New Roman" w:hAnsi="Times New Roman" w:cs="Times New Roman"/>
              </w:rPr>
              <w:t>Kodeksu pracy, budzi wątpliwości nie tylko w świetle zasady równości, ale także w świetle</w:t>
            </w:r>
            <w:r w:rsidRPr="000212FA">
              <w:rPr>
                <w:rFonts w:ascii="Times New Roman" w:hAnsi="Times New Roman" w:cs="Times New Roman"/>
                <w:i/>
                <w:iCs/>
              </w:rPr>
              <w:t xml:space="preserve"> </w:t>
            </w:r>
            <w:r w:rsidRPr="000212FA">
              <w:rPr>
                <w:rFonts w:ascii="Times New Roman" w:hAnsi="Times New Roman" w:cs="Times New Roman"/>
              </w:rPr>
              <w:t>przepisów art. 22 § 1-1</w:t>
            </w:r>
            <w:r w:rsidRPr="000212FA">
              <w:rPr>
                <w:rFonts w:ascii="Times New Roman" w:hAnsi="Times New Roman" w:cs="Times New Roman"/>
                <w:vertAlign w:val="superscript"/>
              </w:rPr>
              <w:t>2</w:t>
            </w:r>
            <w:r w:rsidRPr="000212FA">
              <w:rPr>
                <w:rFonts w:ascii="Times New Roman" w:hAnsi="Times New Roman" w:cs="Times New Roman"/>
              </w:rPr>
              <w:t xml:space="preserve"> Kodeksu pracy, które mają na celu eliminowanie z obrotu prawnego</w:t>
            </w:r>
            <w:r w:rsidRPr="000212FA">
              <w:rPr>
                <w:rFonts w:ascii="Times New Roman" w:hAnsi="Times New Roman" w:cs="Times New Roman"/>
                <w:i/>
                <w:iCs/>
              </w:rPr>
              <w:t xml:space="preserve"> </w:t>
            </w:r>
            <w:r w:rsidRPr="000212FA">
              <w:rPr>
                <w:rFonts w:ascii="Times New Roman" w:hAnsi="Times New Roman" w:cs="Times New Roman"/>
              </w:rPr>
              <w:t>takich umów o świadczenie usług, które stanowią podstawę świadczenia pracy w warunkach</w:t>
            </w:r>
            <w:r w:rsidRPr="000212FA">
              <w:rPr>
                <w:rFonts w:ascii="Times New Roman" w:hAnsi="Times New Roman" w:cs="Times New Roman"/>
                <w:i/>
                <w:iCs/>
              </w:rPr>
              <w:t xml:space="preserve"> </w:t>
            </w:r>
            <w:r w:rsidRPr="000212FA">
              <w:rPr>
                <w:rFonts w:ascii="Times New Roman" w:hAnsi="Times New Roman" w:cs="Times New Roman"/>
              </w:rPr>
              <w:t xml:space="preserve">typowych dla stosunku </w:t>
            </w:r>
            <w:r w:rsidRPr="000212FA">
              <w:rPr>
                <w:rFonts w:ascii="Times New Roman" w:hAnsi="Times New Roman" w:cs="Times New Roman"/>
              </w:rPr>
              <w:lastRenderedPageBreak/>
              <w:t>pracy. Wymaga zatem ponownego rozważenia, jaka umowa powinna</w:t>
            </w:r>
            <w:r w:rsidRPr="000212FA">
              <w:rPr>
                <w:rFonts w:ascii="Times New Roman" w:hAnsi="Times New Roman" w:cs="Times New Roman"/>
                <w:i/>
                <w:iCs/>
              </w:rPr>
              <w:t xml:space="preserve"> </w:t>
            </w:r>
            <w:r w:rsidRPr="000212FA">
              <w:rPr>
                <w:rFonts w:ascii="Times New Roman" w:hAnsi="Times New Roman" w:cs="Times New Roman"/>
              </w:rPr>
              <w:t>być zawierana. Nasuwa się także pytanie, czy w odniesieniu do osób zatrudnionych na</w:t>
            </w:r>
            <w:r w:rsidRPr="000212FA">
              <w:rPr>
                <w:rFonts w:ascii="Times New Roman" w:hAnsi="Times New Roman" w:cs="Times New Roman"/>
                <w:i/>
                <w:iCs/>
              </w:rPr>
              <w:t xml:space="preserve"> </w:t>
            </w:r>
            <w:r w:rsidRPr="000212FA">
              <w:rPr>
                <w:rFonts w:ascii="Times New Roman" w:hAnsi="Times New Roman" w:cs="Times New Roman"/>
              </w:rPr>
              <w:t>podstawie umowy o pracę pracodawcą będzie Zakład, czy tworzone przez Prezesa Zakładu</w:t>
            </w:r>
            <w:r w:rsidRPr="000212FA">
              <w:rPr>
                <w:rFonts w:ascii="Times New Roman" w:hAnsi="Times New Roman" w:cs="Times New Roman"/>
                <w:i/>
                <w:iCs/>
              </w:rPr>
              <w:t xml:space="preserve"> </w:t>
            </w:r>
            <w:r w:rsidRPr="000212FA">
              <w:rPr>
                <w:rFonts w:ascii="Times New Roman" w:hAnsi="Times New Roman" w:cs="Times New Roman"/>
              </w:rPr>
              <w:t>centra orzecznicze, ze względu na ich umiejscowienie w strukturze Zakładu.</w:t>
            </w:r>
          </w:p>
        </w:tc>
        <w:tc>
          <w:tcPr>
            <w:tcW w:w="3402" w:type="dxa"/>
            <w:vAlign w:val="center"/>
          </w:tcPr>
          <w:p w14:paraId="4CFAFBC4" w14:textId="77777777" w:rsidR="00F0743A" w:rsidRPr="000212FA" w:rsidRDefault="00F0743A" w:rsidP="003318FC">
            <w:pPr>
              <w:spacing w:after="0" w:line="240" w:lineRule="auto"/>
              <w:jc w:val="both"/>
              <w:rPr>
                <w:rFonts w:ascii="Times New Roman" w:hAnsi="Times New Roman" w:cs="Times New Roman"/>
              </w:rPr>
            </w:pPr>
          </w:p>
        </w:tc>
        <w:tc>
          <w:tcPr>
            <w:tcW w:w="4253" w:type="dxa"/>
          </w:tcPr>
          <w:p w14:paraId="23E9230E" w14:textId="0B1D1E43" w:rsidR="00E60663" w:rsidRPr="000212FA" w:rsidRDefault="00513228" w:rsidP="003318FC">
            <w:pPr>
              <w:pStyle w:val="Akapitzlist"/>
              <w:numPr>
                <w:ilvl w:val="0"/>
                <w:numId w:val="7"/>
              </w:numPr>
              <w:spacing w:after="0" w:line="240" w:lineRule="auto"/>
              <w:ind w:left="0"/>
              <w:jc w:val="both"/>
              <w:rPr>
                <w:rFonts w:ascii="Times New Roman" w:hAnsi="Times New Roman" w:cs="Times New Roman"/>
                <w:b/>
                <w:bCs/>
              </w:rPr>
            </w:pPr>
            <w:r w:rsidRPr="000212FA">
              <w:rPr>
                <w:rFonts w:ascii="Times New Roman" w:hAnsi="Times New Roman" w:cs="Times New Roman"/>
                <w:b/>
                <w:bCs/>
              </w:rPr>
              <w:t>Uwaga nieuwzględniona.</w:t>
            </w:r>
          </w:p>
          <w:p w14:paraId="771EB353" w14:textId="77777777" w:rsidR="00513228" w:rsidRPr="000212FA" w:rsidRDefault="00513228" w:rsidP="003318FC">
            <w:pPr>
              <w:pStyle w:val="Akapitzlist"/>
              <w:numPr>
                <w:ilvl w:val="0"/>
                <w:numId w:val="7"/>
              </w:numPr>
              <w:spacing w:after="0" w:line="240" w:lineRule="auto"/>
              <w:ind w:left="0"/>
              <w:jc w:val="both"/>
              <w:rPr>
                <w:rFonts w:ascii="Times New Roman" w:hAnsi="Times New Roman" w:cs="Times New Roman"/>
              </w:rPr>
            </w:pPr>
          </w:p>
          <w:p w14:paraId="6285A093" w14:textId="375F85CE" w:rsidR="00F44D5F" w:rsidRPr="000212FA" w:rsidRDefault="00513228" w:rsidP="003318FC">
            <w:pPr>
              <w:spacing w:after="0" w:line="240" w:lineRule="auto"/>
              <w:jc w:val="both"/>
              <w:rPr>
                <w:rFonts w:ascii="Times New Roman" w:hAnsi="Times New Roman" w:cs="Times New Roman"/>
              </w:rPr>
            </w:pPr>
            <w:r w:rsidRPr="000212FA">
              <w:rPr>
                <w:rFonts w:ascii="Times New Roman" w:hAnsi="Times New Roman" w:cs="Times New Roman"/>
              </w:rPr>
              <w:t>Przewidziana w projekcie ustawy koncepcja różnicowania stosunku prawnego, który może łączyć ZUS z poszczególnymi podmiotami realizującymi zadania z zakresu orzecznictwa lekarskiego</w:t>
            </w:r>
            <w:r w:rsidR="00716A36" w:rsidRPr="000212FA">
              <w:rPr>
                <w:rFonts w:ascii="Times New Roman" w:hAnsi="Times New Roman" w:cs="Times New Roman"/>
              </w:rPr>
              <w:t>, ma na celu dostosowanie środowiska prawnego, w którym funkcjonuje ZUS jako podmiot realizujący zadania publiczne, do aktualnych trendów i potrzeb rynkowych.</w:t>
            </w:r>
            <w:r w:rsidR="00CE7FBE" w:rsidRPr="000212FA">
              <w:rPr>
                <w:rFonts w:ascii="Times New Roman" w:hAnsi="Times New Roman" w:cs="Times New Roman"/>
              </w:rPr>
              <w:t xml:space="preserve"> </w:t>
            </w:r>
            <w:r w:rsidR="00CE7FBE" w:rsidRPr="000212FA">
              <w:rPr>
                <w:rFonts w:ascii="Times New Roman" w:hAnsi="Times New Roman" w:cs="Times New Roman"/>
              </w:rPr>
              <w:br/>
              <w:t xml:space="preserve">Medyczne środowisko pracy w odniesieniu do warunków zatrudniania oczekuje </w:t>
            </w:r>
            <w:r w:rsidR="004303CE" w:rsidRPr="000212FA">
              <w:rPr>
                <w:rFonts w:ascii="Times New Roman" w:hAnsi="Times New Roman" w:cs="Times New Roman"/>
              </w:rPr>
              <w:t>bowiem</w:t>
            </w:r>
            <w:r w:rsidR="00CE7FBE" w:rsidRPr="000212FA">
              <w:rPr>
                <w:rFonts w:ascii="Times New Roman" w:hAnsi="Times New Roman" w:cs="Times New Roman"/>
              </w:rPr>
              <w:t xml:space="preserve">  większej swobody i elastyczności, którą może zapewnić </w:t>
            </w:r>
            <w:r w:rsidR="00057036" w:rsidRPr="000212FA">
              <w:rPr>
                <w:rFonts w:ascii="Times New Roman" w:hAnsi="Times New Roman" w:cs="Times New Roman"/>
              </w:rPr>
              <w:t xml:space="preserve">umowa o </w:t>
            </w:r>
            <w:r w:rsidR="0004580C" w:rsidRPr="000212FA">
              <w:rPr>
                <w:rFonts w:ascii="Times New Roman" w:hAnsi="Times New Roman" w:cs="Times New Roman"/>
              </w:rPr>
              <w:t xml:space="preserve">charakterze cywilnoprawnym (umowa o </w:t>
            </w:r>
            <w:r w:rsidR="00057036" w:rsidRPr="000212FA">
              <w:rPr>
                <w:rFonts w:ascii="Times New Roman" w:hAnsi="Times New Roman" w:cs="Times New Roman"/>
              </w:rPr>
              <w:t>świadczenie usług</w:t>
            </w:r>
            <w:r w:rsidR="0004580C" w:rsidRPr="000212FA">
              <w:rPr>
                <w:rFonts w:ascii="Times New Roman" w:hAnsi="Times New Roman" w:cs="Times New Roman"/>
              </w:rPr>
              <w:t>)</w:t>
            </w:r>
            <w:r w:rsidR="00057036" w:rsidRPr="000212FA">
              <w:rPr>
                <w:rFonts w:ascii="Times New Roman" w:hAnsi="Times New Roman" w:cs="Times New Roman"/>
              </w:rPr>
              <w:t>.</w:t>
            </w:r>
            <w:r w:rsidR="00762E7C" w:rsidRPr="000212FA">
              <w:rPr>
                <w:rFonts w:ascii="Times New Roman" w:hAnsi="Times New Roman" w:cs="Times New Roman"/>
              </w:rPr>
              <w:t xml:space="preserve"> Propozycja </w:t>
            </w:r>
            <w:proofErr w:type="spellStart"/>
            <w:r w:rsidR="005B4A9A" w:rsidRPr="000212FA">
              <w:rPr>
                <w:rFonts w:ascii="Times New Roman" w:hAnsi="Times New Roman" w:cs="Times New Roman"/>
              </w:rPr>
              <w:t>MRPiPS</w:t>
            </w:r>
            <w:proofErr w:type="spellEnd"/>
            <w:r w:rsidR="00762E7C" w:rsidRPr="000212FA">
              <w:rPr>
                <w:rFonts w:ascii="Times New Roman" w:hAnsi="Times New Roman" w:cs="Times New Roman"/>
              </w:rPr>
              <w:t xml:space="preserve"> wychodzi </w:t>
            </w:r>
            <w:r w:rsidR="00067DE6" w:rsidRPr="000212FA">
              <w:rPr>
                <w:rFonts w:ascii="Times New Roman" w:hAnsi="Times New Roman" w:cs="Times New Roman"/>
              </w:rPr>
              <w:t xml:space="preserve">zatem </w:t>
            </w:r>
            <w:r w:rsidR="00762E7C" w:rsidRPr="000212FA">
              <w:rPr>
                <w:rFonts w:ascii="Times New Roman" w:hAnsi="Times New Roman" w:cs="Times New Roman"/>
              </w:rPr>
              <w:t>naprzeciw tym oczekiwaniom</w:t>
            </w:r>
            <w:r w:rsidR="00067DE6" w:rsidRPr="000212FA">
              <w:rPr>
                <w:rFonts w:ascii="Times New Roman" w:hAnsi="Times New Roman" w:cs="Times New Roman"/>
              </w:rPr>
              <w:t xml:space="preserve">, </w:t>
            </w:r>
            <w:r w:rsidR="00614B53" w:rsidRPr="000212FA">
              <w:rPr>
                <w:rFonts w:ascii="Times New Roman" w:hAnsi="Times New Roman" w:cs="Times New Roman"/>
              </w:rPr>
              <w:t xml:space="preserve">a tym samym docelowa </w:t>
            </w:r>
            <w:r w:rsidR="00762E7C" w:rsidRPr="000212FA">
              <w:rPr>
                <w:rFonts w:ascii="Times New Roman" w:hAnsi="Times New Roman" w:cs="Times New Roman"/>
              </w:rPr>
              <w:t xml:space="preserve">forma współpracy byłaby uzależniona od indywidualnych preferencji lekarza orzecznika. </w:t>
            </w:r>
            <w:r w:rsidR="00B1052C" w:rsidRPr="000212FA">
              <w:rPr>
                <w:rFonts w:ascii="Times New Roman" w:hAnsi="Times New Roman" w:cs="Times New Roman"/>
              </w:rPr>
              <w:t xml:space="preserve">Podkreślenia przy tym wymaga, że </w:t>
            </w:r>
            <w:r w:rsidR="0004580C" w:rsidRPr="000212FA">
              <w:rPr>
                <w:rFonts w:ascii="Times New Roman" w:hAnsi="Times New Roman" w:cs="Times New Roman"/>
              </w:rPr>
              <w:t xml:space="preserve">projektowane </w:t>
            </w:r>
            <w:r w:rsidR="00B1052C" w:rsidRPr="000212FA">
              <w:rPr>
                <w:rFonts w:ascii="Times New Roman" w:hAnsi="Times New Roman" w:cs="Times New Roman"/>
              </w:rPr>
              <w:t>r</w:t>
            </w:r>
            <w:r w:rsidR="00F44D5F" w:rsidRPr="000212FA">
              <w:rPr>
                <w:rFonts w:ascii="Times New Roman" w:hAnsi="Times New Roman" w:cs="Times New Roman"/>
              </w:rPr>
              <w:t xml:space="preserve">óżnicowanie podstawy prawnej </w:t>
            </w:r>
            <w:r w:rsidR="004303CE" w:rsidRPr="000212FA">
              <w:rPr>
                <w:rFonts w:ascii="Times New Roman" w:hAnsi="Times New Roman" w:cs="Times New Roman"/>
              </w:rPr>
              <w:t xml:space="preserve">umowy jest powiązane z </w:t>
            </w:r>
            <w:r w:rsidR="0017324A" w:rsidRPr="000212FA">
              <w:rPr>
                <w:rFonts w:ascii="Times New Roman" w:hAnsi="Times New Roman" w:cs="Times New Roman"/>
              </w:rPr>
              <w:t xml:space="preserve">charakterem prawnym </w:t>
            </w:r>
            <w:r w:rsidR="004303CE" w:rsidRPr="000212FA">
              <w:rPr>
                <w:rFonts w:ascii="Times New Roman" w:hAnsi="Times New Roman" w:cs="Times New Roman"/>
              </w:rPr>
              <w:t xml:space="preserve">wykonywanych </w:t>
            </w:r>
            <w:r w:rsidR="004303CE" w:rsidRPr="000212FA">
              <w:rPr>
                <w:rFonts w:ascii="Times New Roman" w:hAnsi="Times New Roman" w:cs="Times New Roman"/>
              </w:rPr>
              <w:lastRenderedPageBreak/>
              <w:t xml:space="preserve">czynności. </w:t>
            </w:r>
            <w:r w:rsidR="00BC306E" w:rsidRPr="000212FA">
              <w:rPr>
                <w:rFonts w:ascii="Times New Roman" w:hAnsi="Times New Roman" w:cs="Times New Roman"/>
              </w:rPr>
              <w:t>L</w:t>
            </w:r>
            <w:r w:rsidR="004303CE" w:rsidRPr="000212FA">
              <w:rPr>
                <w:rFonts w:ascii="Times New Roman" w:hAnsi="Times New Roman" w:cs="Times New Roman"/>
              </w:rPr>
              <w:t>ekarze orzecznicy</w:t>
            </w:r>
            <w:r w:rsidR="00BC306E" w:rsidRPr="000212FA">
              <w:rPr>
                <w:rFonts w:ascii="Times New Roman" w:hAnsi="Times New Roman" w:cs="Times New Roman"/>
              </w:rPr>
              <w:t xml:space="preserve"> wykonują co do zasady pracę samodzielną</w:t>
            </w:r>
            <w:r w:rsidR="0004580C" w:rsidRPr="000212FA">
              <w:rPr>
                <w:rFonts w:ascii="Times New Roman" w:hAnsi="Times New Roman" w:cs="Times New Roman"/>
              </w:rPr>
              <w:t>, w której niezależność lekarza wyraża się w pewnego rodzaju swobodzie wydawania orzeczeń lekarskich</w:t>
            </w:r>
            <w:r w:rsidR="003B30BA" w:rsidRPr="000212FA">
              <w:rPr>
                <w:rFonts w:ascii="Times New Roman" w:hAnsi="Times New Roman" w:cs="Times New Roman"/>
              </w:rPr>
              <w:t>, tj.</w:t>
            </w:r>
            <w:r w:rsidR="0004580C" w:rsidRPr="000212FA">
              <w:rPr>
                <w:rFonts w:ascii="Times New Roman" w:hAnsi="Times New Roman" w:cs="Times New Roman"/>
              </w:rPr>
              <w:t xml:space="preserve"> w oparciu o jego indywidualną wiedzę i doświadczenie, w oderwaniu od ewentualnych poleceń służbowych.  Natomiast</w:t>
            </w:r>
            <w:r w:rsidR="00BC306E" w:rsidRPr="000212FA">
              <w:rPr>
                <w:rFonts w:ascii="Times New Roman" w:hAnsi="Times New Roman" w:cs="Times New Roman"/>
              </w:rPr>
              <w:t xml:space="preserve"> </w:t>
            </w:r>
            <w:r w:rsidR="006A478F" w:rsidRPr="000212FA">
              <w:rPr>
                <w:rFonts w:ascii="Times New Roman" w:hAnsi="Times New Roman" w:cs="Times New Roman"/>
              </w:rPr>
              <w:t xml:space="preserve">w odniesieniu do </w:t>
            </w:r>
            <w:r w:rsidR="00BC306E" w:rsidRPr="000212FA">
              <w:rPr>
                <w:rFonts w:ascii="Times New Roman" w:hAnsi="Times New Roman" w:cs="Times New Roman"/>
              </w:rPr>
              <w:t>lekarz</w:t>
            </w:r>
            <w:r w:rsidR="006A478F" w:rsidRPr="000212FA">
              <w:rPr>
                <w:rFonts w:ascii="Times New Roman" w:hAnsi="Times New Roman" w:cs="Times New Roman"/>
              </w:rPr>
              <w:t>a</w:t>
            </w:r>
            <w:r w:rsidR="00BC306E" w:rsidRPr="000212FA">
              <w:rPr>
                <w:rFonts w:ascii="Times New Roman" w:hAnsi="Times New Roman" w:cs="Times New Roman"/>
              </w:rPr>
              <w:t xml:space="preserve"> inspektor</w:t>
            </w:r>
            <w:r w:rsidR="006A478F" w:rsidRPr="000212FA">
              <w:rPr>
                <w:rFonts w:ascii="Times New Roman" w:hAnsi="Times New Roman" w:cs="Times New Roman"/>
              </w:rPr>
              <w:t>a</w:t>
            </w:r>
            <w:r w:rsidR="00BC306E" w:rsidRPr="000212FA">
              <w:rPr>
                <w:rFonts w:ascii="Times New Roman" w:hAnsi="Times New Roman" w:cs="Times New Roman"/>
              </w:rPr>
              <w:t xml:space="preserve"> nadzoru orzecznictwa lekarskiego, główn</w:t>
            </w:r>
            <w:r w:rsidR="006A478F" w:rsidRPr="000212FA">
              <w:rPr>
                <w:rFonts w:ascii="Times New Roman" w:hAnsi="Times New Roman" w:cs="Times New Roman"/>
              </w:rPr>
              <w:t>ego</w:t>
            </w:r>
            <w:r w:rsidR="00BC306E" w:rsidRPr="000212FA">
              <w:rPr>
                <w:rFonts w:ascii="Times New Roman" w:hAnsi="Times New Roman" w:cs="Times New Roman"/>
              </w:rPr>
              <w:t xml:space="preserve"> lekarz</w:t>
            </w:r>
            <w:r w:rsidR="006A478F" w:rsidRPr="000212FA">
              <w:rPr>
                <w:rFonts w:ascii="Times New Roman" w:hAnsi="Times New Roman" w:cs="Times New Roman"/>
              </w:rPr>
              <w:t>a</w:t>
            </w:r>
            <w:r w:rsidR="00BC306E" w:rsidRPr="000212FA">
              <w:rPr>
                <w:rFonts w:ascii="Times New Roman" w:hAnsi="Times New Roman" w:cs="Times New Roman"/>
                <w:i/>
                <w:iCs/>
              </w:rPr>
              <w:t xml:space="preserve"> </w:t>
            </w:r>
            <w:r w:rsidR="00BC306E" w:rsidRPr="000212FA">
              <w:rPr>
                <w:rFonts w:ascii="Times New Roman" w:hAnsi="Times New Roman" w:cs="Times New Roman"/>
              </w:rPr>
              <w:t>orzecznik</w:t>
            </w:r>
            <w:r w:rsidR="006A478F" w:rsidRPr="000212FA">
              <w:rPr>
                <w:rFonts w:ascii="Times New Roman" w:hAnsi="Times New Roman" w:cs="Times New Roman"/>
              </w:rPr>
              <w:t>a</w:t>
            </w:r>
            <w:r w:rsidR="00BC306E" w:rsidRPr="000212FA">
              <w:rPr>
                <w:rFonts w:ascii="Times New Roman" w:hAnsi="Times New Roman" w:cs="Times New Roman"/>
              </w:rPr>
              <w:t xml:space="preserve"> oraz zastępc</w:t>
            </w:r>
            <w:r w:rsidR="006A478F" w:rsidRPr="000212FA">
              <w:rPr>
                <w:rFonts w:ascii="Times New Roman" w:hAnsi="Times New Roman" w:cs="Times New Roman"/>
              </w:rPr>
              <w:t>y</w:t>
            </w:r>
            <w:r w:rsidR="00BC306E" w:rsidRPr="000212FA">
              <w:rPr>
                <w:rFonts w:ascii="Times New Roman" w:hAnsi="Times New Roman" w:cs="Times New Roman"/>
              </w:rPr>
              <w:t xml:space="preserve"> głównego lekarza orzecznika </w:t>
            </w:r>
            <w:r w:rsidR="006A478F" w:rsidRPr="000212FA">
              <w:rPr>
                <w:rFonts w:ascii="Times New Roman" w:hAnsi="Times New Roman" w:cs="Times New Roman"/>
              </w:rPr>
              <w:t xml:space="preserve">przeważa </w:t>
            </w:r>
            <w:r w:rsidR="00BC306E" w:rsidRPr="000212FA">
              <w:rPr>
                <w:rFonts w:ascii="Times New Roman" w:hAnsi="Times New Roman" w:cs="Times New Roman"/>
              </w:rPr>
              <w:t>prac</w:t>
            </w:r>
            <w:r w:rsidR="006A478F" w:rsidRPr="000212FA">
              <w:rPr>
                <w:rFonts w:ascii="Times New Roman" w:hAnsi="Times New Roman" w:cs="Times New Roman"/>
              </w:rPr>
              <w:t>a</w:t>
            </w:r>
            <w:r w:rsidR="00BC306E" w:rsidRPr="000212FA">
              <w:rPr>
                <w:rFonts w:ascii="Times New Roman" w:hAnsi="Times New Roman" w:cs="Times New Roman"/>
              </w:rPr>
              <w:t xml:space="preserve"> </w:t>
            </w:r>
            <w:r w:rsidR="0017324A" w:rsidRPr="000212FA">
              <w:rPr>
                <w:rFonts w:ascii="Times New Roman" w:hAnsi="Times New Roman" w:cs="Times New Roman"/>
              </w:rPr>
              <w:t>o charakterze</w:t>
            </w:r>
            <w:r w:rsidR="00BC306E" w:rsidRPr="000212FA">
              <w:rPr>
                <w:rFonts w:ascii="Times New Roman" w:hAnsi="Times New Roman" w:cs="Times New Roman"/>
              </w:rPr>
              <w:t xml:space="preserve"> </w:t>
            </w:r>
            <w:r w:rsidR="0017324A" w:rsidRPr="000212FA">
              <w:rPr>
                <w:rFonts w:ascii="Times New Roman" w:hAnsi="Times New Roman" w:cs="Times New Roman"/>
              </w:rPr>
              <w:t>administracyjnym</w:t>
            </w:r>
            <w:r w:rsidR="00BC306E" w:rsidRPr="000212FA">
              <w:rPr>
                <w:rFonts w:ascii="Times New Roman" w:hAnsi="Times New Roman" w:cs="Times New Roman"/>
              </w:rPr>
              <w:t xml:space="preserve"> (</w:t>
            </w:r>
            <w:r w:rsidR="0017324A" w:rsidRPr="000212FA">
              <w:rPr>
                <w:rFonts w:ascii="Times New Roman" w:hAnsi="Times New Roman" w:cs="Times New Roman"/>
              </w:rPr>
              <w:t>urzędniczym</w:t>
            </w:r>
            <w:r w:rsidR="00BC306E" w:rsidRPr="000212FA">
              <w:rPr>
                <w:rFonts w:ascii="Times New Roman" w:hAnsi="Times New Roman" w:cs="Times New Roman"/>
              </w:rPr>
              <w:t xml:space="preserve">). W odniesieniu do tej drugiej kategorii podmiotów </w:t>
            </w:r>
            <w:r w:rsidR="003B30BA" w:rsidRPr="000212FA">
              <w:rPr>
                <w:rFonts w:ascii="Times New Roman" w:hAnsi="Times New Roman" w:cs="Times New Roman"/>
              </w:rPr>
              <w:t xml:space="preserve">w większym stopniu </w:t>
            </w:r>
            <w:r w:rsidR="00BC306E" w:rsidRPr="000212FA">
              <w:rPr>
                <w:rFonts w:ascii="Times New Roman" w:hAnsi="Times New Roman" w:cs="Times New Roman"/>
              </w:rPr>
              <w:t>przejawia się p</w:t>
            </w:r>
            <w:r w:rsidR="0017324A" w:rsidRPr="000212FA">
              <w:rPr>
                <w:rFonts w:ascii="Times New Roman" w:hAnsi="Times New Roman" w:cs="Times New Roman"/>
              </w:rPr>
              <w:t>odporządkowanie</w:t>
            </w:r>
            <w:r w:rsidR="00BC306E" w:rsidRPr="000212FA">
              <w:rPr>
                <w:rFonts w:ascii="Times New Roman" w:hAnsi="Times New Roman" w:cs="Times New Roman"/>
              </w:rPr>
              <w:t xml:space="preserve"> charakterystyczne dla kodeksowego stosunku pracy.</w:t>
            </w:r>
          </w:p>
          <w:p w14:paraId="5796C35D" w14:textId="4E8C5117" w:rsidR="007E647E" w:rsidRPr="000212FA" w:rsidRDefault="00F44D5F" w:rsidP="003318FC">
            <w:pPr>
              <w:spacing w:after="0" w:line="240" w:lineRule="auto"/>
              <w:jc w:val="both"/>
              <w:rPr>
                <w:rFonts w:ascii="Times New Roman" w:hAnsi="Times New Roman" w:cs="Times New Roman"/>
              </w:rPr>
            </w:pPr>
            <w:r w:rsidRPr="000212FA">
              <w:rPr>
                <w:rFonts w:ascii="Times New Roman" w:hAnsi="Times New Roman" w:cs="Times New Roman"/>
              </w:rPr>
              <w:t xml:space="preserve">Proponowane przez </w:t>
            </w:r>
            <w:proofErr w:type="spellStart"/>
            <w:r w:rsidR="005B4A9A" w:rsidRPr="000212FA">
              <w:rPr>
                <w:rFonts w:ascii="Times New Roman" w:hAnsi="Times New Roman" w:cs="Times New Roman"/>
              </w:rPr>
              <w:t>MRPiPS</w:t>
            </w:r>
            <w:proofErr w:type="spellEnd"/>
            <w:r w:rsidRPr="000212FA">
              <w:rPr>
                <w:rFonts w:ascii="Times New Roman" w:hAnsi="Times New Roman" w:cs="Times New Roman"/>
              </w:rPr>
              <w:t xml:space="preserve"> rozwiązanie</w:t>
            </w:r>
            <w:r w:rsidRPr="000212FA">
              <w:rPr>
                <w:rFonts w:ascii="Times New Roman" w:hAnsi="Times New Roman" w:cs="Times New Roman"/>
                <w:i/>
                <w:iCs/>
              </w:rPr>
              <w:t xml:space="preserve"> </w:t>
            </w:r>
            <w:r w:rsidRPr="000212FA">
              <w:rPr>
                <w:rFonts w:ascii="Times New Roman" w:hAnsi="Times New Roman" w:cs="Times New Roman"/>
              </w:rPr>
              <w:t xml:space="preserve">z powodzeniem funkcjonuje </w:t>
            </w:r>
            <w:r w:rsidRPr="000212FA">
              <w:rPr>
                <w:rFonts w:ascii="Times New Roman" w:hAnsi="Times New Roman" w:cs="Times New Roman"/>
              </w:rPr>
              <w:br/>
              <w:t xml:space="preserve">w aktualnym systemie prawnym, m.in. </w:t>
            </w:r>
            <w:r w:rsidRPr="000212FA">
              <w:rPr>
                <w:rFonts w:ascii="Times New Roman" w:hAnsi="Times New Roman" w:cs="Times New Roman"/>
              </w:rPr>
              <w:br/>
              <w:t xml:space="preserve">w zakresie zatrudniania </w:t>
            </w:r>
            <w:r w:rsidR="00C95682" w:rsidRPr="000212FA">
              <w:rPr>
                <w:rFonts w:ascii="Times New Roman" w:hAnsi="Times New Roman" w:cs="Times New Roman"/>
              </w:rPr>
              <w:t>członków Samorządow</w:t>
            </w:r>
            <w:r w:rsidR="00E73A3E" w:rsidRPr="000212FA">
              <w:rPr>
                <w:rFonts w:ascii="Times New Roman" w:hAnsi="Times New Roman" w:cs="Times New Roman"/>
              </w:rPr>
              <w:t>ych</w:t>
            </w:r>
            <w:r w:rsidR="00C95682" w:rsidRPr="000212FA">
              <w:rPr>
                <w:rFonts w:ascii="Times New Roman" w:hAnsi="Times New Roman" w:cs="Times New Roman"/>
              </w:rPr>
              <w:t xml:space="preserve"> Kolegi</w:t>
            </w:r>
            <w:r w:rsidR="00E73A3E" w:rsidRPr="000212FA">
              <w:rPr>
                <w:rFonts w:ascii="Times New Roman" w:hAnsi="Times New Roman" w:cs="Times New Roman"/>
              </w:rPr>
              <w:t>ów</w:t>
            </w:r>
            <w:r w:rsidR="00C95682" w:rsidRPr="000212FA">
              <w:rPr>
                <w:rFonts w:ascii="Times New Roman" w:hAnsi="Times New Roman" w:cs="Times New Roman"/>
              </w:rPr>
              <w:t xml:space="preserve"> Odwoławczych</w:t>
            </w:r>
            <w:r w:rsidR="00E73A3E" w:rsidRPr="000212FA">
              <w:rPr>
                <w:rFonts w:ascii="Times New Roman" w:hAnsi="Times New Roman" w:cs="Times New Roman"/>
              </w:rPr>
              <w:t xml:space="preserve">, w których jedynie etatowi członkowie tych kolegiów wykonują swoje obowiązki na podstawie kodeksowych form zatrudnienia, pomimo że wykonują tożsame czynności jak pozaetatowi członkowie </w:t>
            </w:r>
            <w:r w:rsidR="00C95682" w:rsidRPr="000212FA">
              <w:rPr>
                <w:rFonts w:ascii="Times New Roman" w:hAnsi="Times New Roman" w:cs="Times New Roman"/>
              </w:rPr>
              <w:t xml:space="preserve"> </w:t>
            </w:r>
            <w:r w:rsidR="00E73A3E" w:rsidRPr="000212FA">
              <w:rPr>
                <w:rFonts w:ascii="Times New Roman" w:hAnsi="Times New Roman" w:cs="Times New Roman"/>
              </w:rPr>
              <w:t xml:space="preserve">tych </w:t>
            </w:r>
            <w:r w:rsidR="00C95682" w:rsidRPr="000212FA">
              <w:rPr>
                <w:rFonts w:ascii="Times New Roman" w:hAnsi="Times New Roman" w:cs="Times New Roman"/>
              </w:rPr>
              <w:t>kolegi</w:t>
            </w:r>
            <w:r w:rsidR="00E73A3E" w:rsidRPr="000212FA">
              <w:rPr>
                <w:rFonts w:ascii="Times New Roman" w:hAnsi="Times New Roman" w:cs="Times New Roman"/>
              </w:rPr>
              <w:t xml:space="preserve">ów. </w:t>
            </w:r>
          </w:p>
          <w:p w14:paraId="539969C4" w14:textId="780FC122" w:rsidR="00AF2563" w:rsidRPr="000212FA" w:rsidRDefault="007E647E" w:rsidP="003318FC">
            <w:pPr>
              <w:spacing w:after="0" w:line="240" w:lineRule="auto"/>
              <w:jc w:val="both"/>
              <w:rPr>
                <w:rFonts w:ascii="Times New Roman" w:hAnsi="Times New Roman" w:cs="Times New Roman"/>
              </w:rPr>
            </w:pPr>
            <w:r w:rsidRPr="000212FA">
              <w:rPr>
                <w:rFonts w:ascii="Times New Roman" w:hAnsi="Times New Roman" w:cs="Times New Roman"/>
              </w:rPr>
              <w:t xml:space="preserve">Przyjmując zatem, że analogiczne w swej istocie rozwiązanie nie jest w żaden sposób  </w:t>
            </w:r>
            <w:r w:rsidR="00AF2563" w:rsidRPr="000212FA">
              <w:rPr>
                <w:rFonts w:ascii="Times New Roman" w:hAnsi="Times New Roman" w:cs="Times New Roman"/>
              </w:rPr>
              <w:t>kwestionowane</w:t>
            </w:r>
            <w:r w:rsidRPr="000212FA">
              <w:rPr>
                <w:rFonts w:ascii="Times New Roman" w:hAnsi="Times New Roman" w:cs="Times New Roman"/>
              </w:rPr>
              <w:t xml:space="preserve"> w odniesieniu do ww. podmiotów, można uznać, że brak jest wystarczających argumentów do przyjęcia, że nie może ono zostać implementowane również na gruncie orzecznictwa lekarskiego w ZUS. </w:t>
            </w:r>
          </w:p>
        </w:tc>
      </w:tr>
      <w:tr w:rsidR="00F0743A" w:rsidRPr="000212FA" w14:paraId="4BDDCFA4" w14:textId="77777777" w:rsidTr="003318FC">
        <w:tc>
          <w:tcPr>
            <w:tcW w:w="567" w:type="dxa"/>
          </w:tcPr>
          <w:p w14:paraId="5D50DF2C" w14:textId="77777777" w:rsidR="00F0743A" w:rsidRPr="000212FA" w:rsidRDefault="00F0743A" w:rsidP="003318FC">
            <w:pPr>
              <w:pStyle w:val="Akapitzlist"/>
              <w:numPr>
                <w:ilvl w:val="0"/>
                <w:numId w:val="1"/>
              </w:numPr>
              <w:spacing w:after="0" w:line="240" w:lineRule="auto"/>
              <w:ind w:left="0" w:firstLine="0"/>
              <w:jc w:val="both"/>
              <w:rPr>
                <w:rFonts w:ascii="Times New Roman" w:hAnsi="Times New Roman" w:cs="Times New Roman"/>
                <w:b/>
              </w:rPr>
            </w:pPr>
          </w:p>
        </w:tc>
        <w:tc>
          <w:tcPr>
            <w:tcW w:w="1418" w:type="dxa"/>
            <w:vAlign w:val="center"/>
          </w:tcPr>
          <w:p w14:paraId="028E7833" w14:textId="3899A429" w:rsidR="00F0743A" w:rsidRPr="000212FA" w:rsidRDefault="00F0743A" w:rsidP="003318FC">
            <w:pPr>
              <w:spacing w:after="0" w:line="240" w:lineRule="auto"/>
              <w:jc w:val="both"/>
              <w:rPr>
                <w:rFonts w:ascii="Times New Roman" w:hAnsi="Times New Roman" w:cs="Times New Roman"/>
              </w:rPr>
            </w:pPr>
            <w:r w:rsidRPr="000212FA">
              <w:rPr>
                <w:rFonts w:ascii="Times New Roman" w:hAnsi="Times New Roman" w:cs="Times New Roman"/>
              </w:rPr>
              <w:t>Art. 1 pkt 7 projektu w zakresie art. 85b ust.</w:t>
            </w:r>
            <w:r w:rsidR="00557AD9" w:rsidRPr="000212FA">
              <w:rPr>
                <w:rFonts w:ascii="Times New Roman" w:hAnsi="Times New Roman" w:cs="Times New Roman"/>
              </w:rPr>
              <w:t xml:space="preserve"> </w:t>
            </w:r>
            <w:r w:rsidR="00961B10" w:rsidRPr="000212FA">
              <w:rPr>
                <w:rFonts w:ascii="Times New Roman" w:hAnsi="Times New Roman" w:cs="Times New Roman"/>
              </w:rPr>
              <w:t>3–</w:t>
            </w:r>
            <w:r w:rsidRPr="000212FA">
              <w:rPr>
                <w:rFonts w:ascii="Times New Roman" w:hAnsi="Times New Roman" w:cs="Times New Roman"/>
              </w:rPr>
              <w:t>5</w:t>
            </w:r>
            <w:r w:rsidR="00961B10" w:rsidRPr="000212FA">
              <w:rPr>
                <w:rFonts w:ascii="Times New Roman" w:hAnsi="Times New Roman" w:cs="Times New Roman"/>
              </w:rPr>
              <w:t xml:space="preserve"> ustawy o sus</w:t>
            </w:r>
          </w:p>
        </w:tc>
        <w:tc>
          <w:tcPr>
            <w:tcW w:w="1559" w:type="dxa"/>
            <w:vAlign w:val="center"/>
          </w:tcPr>
          <w:p w14:paraId="2EA5EE82" w14:textId="4105295A" w:rsidR="00F0743A" w:rsidRPr="000212FA" w:rsidRDefault="00961B10" w:rsidP="003318FC">
            <w:pPr>
              <w:spacing w:after="0" w:line="240" w:lineRule="auto"/>
              <w:jc w:val="both"/>
              <w:rPr>
                <w:rFonts w:ascii="Times New Roman" w:hAnsi="Times New Roman" w:cs="Times New Roman"/>
              </w:rPr>
            </w:pPr>
            <w:r w:rsidRPr="000212FA">
              <w:rPr>
                <w:rFonts w:ascii="Times New Roman" w:hAnsi="Times New Roman" w:cs="Times New Roman"/>
              </w:rPr>
              <w:t>RCL</w:t>
            </w:r>
          </w:p>
        </w:tc>
        <w:tc>
          <w:tcPr>
            <w:tcW w:w="4536" w:type="dxa"/>
          </w:tcPr>
          <w:p w14:paraId="2EBBAAA0" w14:textId="6BA0AFCF" w:rsidR="00F0743A" w:rsidRPr="000212FA" w:rsidRDefault="00961B10" w:rsidP="003318FC">
            <w:pPr>
              <w:autoSpaceDE w:val="0"/>
              <w:autoSpaceDN w:val="0"/>
              <w:adjustRightInd w:val="0"/>
              <w:spacing w:after="0" w:line="240" w:lineRule="auto"/>
              <w:jc w:val="both"/>
              <w:rPr>
                <w:rFonts w:ascii="Times New Roman" w:hAnsi="Times New Roman" w:cs="Times New Roman"/>
              </w:rPr>
            </w:pPr>
            <w:r w:rsidRPr="000212FA">
              <w:rPr>
                <w:rFonts w:ascii="Times New Roman" w:hAnsi="Times New Roman" w:cs="Times New Roman"/>
              </w:rPr>
              <w:t xml:space="preserve">Budzi także zastrzeżenia przyznawanie prawa do wynagrodzenia zasadniczego w określonej wysokości jedynie w przypadku zawarcia umowy o pracę. Co więcej, posługiwanie się określeniem </w:t>
            </w:r>
            <w:r w:rsidRPr="000212FA">
              <w:rPr>
                <w:rFonts w:ascii="Times New Roman" w:hAnsi="Times New Roman" w:cs="Times New Roman"/>
                <w:i/>
                <w:iCs/>
              </w:rPr>
              <w:t xml:space="preserve">„wynagrodzenie zasadnicze” </w:t>
            </w:r>
            <w:r w:rsidRPr="000212FA">
              <w:rPr>
                <w:rFonts w:ascii="Times New Roman" w:hAnsi="Times New Roman" w:cs="Times New Roman"/>
              </w:rPr>
              <w:t>może</w:t>
            </w:r>
            <w:r w:rsidR="002714D8" w:rsidRPr="000212FA">
              <w:rPr>
                <w:rFonts w:ascii="Times New Roman" w:hAnsi="Times New Roman" w:cs="Times New Roman"/>
              </w:rPr>
              <w:t xml:space="preserve"> </w:t>
            </w:r>
            <w:r w:rsidRPr="000212FA">
              <w:rPr>
                <w:rFonts w:ascii="Times New Roman" w:hAnsi="Times New Roman" w:cs="Times New Roman"/>
              </w:rPr>
              <w:t>sugerować istnienie innych składników wynagrodzenia, do których przysługuje prawo na podstawie innych przepisów prawa pracy.</w:t>
            </w:r>
          </w:p>
        </w:tc>
        <w:tc>
          <w:tcPr>
            <w:tcW w:w="3402" w:type="dxa"/>
            <w:vAlign w:val="center"/>
          </w:tcPr>
          <w:p w14:paraId="708D8BD9" w14:textId="77777777" w:rsidR="00F0743A" w:rsidRPr="000212FA" w:rsidRDefault="00F0743A" w:rsidP="003318FC">
            <w:pPr>
              <w:spacing w:after="0" w:line="240" w:lineRule="auto"/>
              <w:jc w:val="both"/>
              <w:rPr>
                <w:rFonts w:ascii="Times New Roman" w:hAnsi="Times New Roman" w:cs="Times New Roman"/>
              </w:rPr>
            </w:pPr>
          </w:p>
        </w:tc>
        <w:tc>
          <w:tcPr>
            <w:tcW w:w="4253" w:type="dxa"/>
          </w:tcPr>
          <w:p w14:paraId="34FF9B4E" w14:textId="1EACB345" w:rsidR="00CE5C7D" w:rsidRPr="000212FA" w:rsidRDefault="00CE5C7D" w:rsidP="003318FC">
            <w:pPr>
              <w:spacing w:after="0" w:line="240" w:lineRule="auto"/>
              <w:jc w:val="both"/>
              <w:rPr>
                <w:rFonts w:ascii="Times New Roman" w:hAnsi="Times New Roman" w:cs="Times New Roman"/>
                <w:b/>
                <w:bCs/>
              </w:rPr>
            </w:pPr>
            <w:r w:rsidRPr="000212FA">
              <w:rPr>
                <w:rFonts w:ascii="Times New Roman" w:hAnsi="Times New Roman" w:cs="Times New Roman"/>
                <w:b/>
                <w:bCs/>
              </w:rPr>
              <w:t xml:space="preserve">Uwaga </w:t>
            </w:r>
            <w:r w:rsidR="00441BE5" w:rsidRPr="000212FA">
              <w:rPr>
                <w:rFonts w:ascii="Times New Roman" w:hAnsi="Times New Roman" w:cs="Times New Roman"/>
                <w:b/>
                <w:bCs/>
              </w:rPr>
              <w:t>nieuwzględniona</w:t>
            </w:r>
            <w:r w:rsidR="004469B7" w:rsidRPr="000212FA">
              <w:rPr>
                <w:rFonts w:ascii="Times New Roman" w:hAnsi="Times New Roman" w:cs="Times New Roman"/>
                <w:b/>
                <w:bCs/>
              </w:rPr>
              <w:t>.</w:t>
            </w:r>
          </w:p>
          <w:p w14:paraId="77DCB66B" w14:textId="77777777" w:rsidR="004469B7" w:rsidRPr="000212FA" w:rsidRDefault="004469B7" w:rsidP="003318FC">
            <w:pPr>
              <w:spacing w:after="0" w:line="240" w:lineRule="auto"/>
              <w:jc w:val="both"/>
              <w:rPr>
                <w:rFonts w:ascii="Times New Roman" w:hAnsi="Times New Roman" w:cs="Times New Roman"/>
              </w:rPr>
            </w:pPr>
          </w:p>
          <w:p w14:paraId="112871FF" w14:textId="21C99624" w:rsidR="00CE5C7D" w:rsidRPr="000212FA" w:rsidRDefault="004469B7" w:rsidP="003318FC">
            <w:pPr>
              <w:spacing w:after="0" w:line="240" w:lineRule="auto"/>
              <w:jc w:val="both"/>
              <w:rPr>
                <w:rFonts w:ascii="Times New Roman" w:hAnsi="Times New Roman" w:cs="Times New Roman"/>
              </w:rPr>
            </w:pPr>
            <w:r w:rsidRPr="000212FA">
              <w:rPr>
                <w:rFonts w:ascii="Times New Roman" w:hAnsi="Times New Roman" w:cs="Times New Roman"/>
              </w:rPr>
              <w:t>W odniesieniu do lekarzy orzeczników, którzy zadeklarują chęć nawiązania współpracy na podstawie umowy cywilnoprawnej, źródłem praw i obowiązków stron będą przede wszystkim postanowienia umowne.</w:t>
            </w:r>
            <w:r w:rsidR="0013274C" w:rsidRPr="000212FA">
              <w:rPr>
                <w:rFonts w:ascii="Times New Roman" w:hAnsi="Times New Roman" w:cs="Times New Roman"/>
              </w:rPr>
              <w:t xml:space="preserve"> </w:t>
            </w:r>
          </w:p>
          <w:p w14:paraId="0276744B" w14:textId="2686CBA2" w:rsidR="00D218F2" w:rsidRPr="000212FA" w:rsidRDefault="00D218F2" w:rsidP="003318FC">
            <w:pPr>
              <w:spacing w:after="0" w:line="240" w:lineRule="auto"/>
              <w:jc w:val="both"/>
              <w:rPr>
                <w:rFonts w:ascii="Times New Roman" w:hAnsi="Times New Roman" w:cs="Times New Roman"/>
              </w:rPr>
            </w:pPr>
            <w:r w:rsidRPr="000212FA">
              <w:rPr>
                <w:rFonts w:ascii="Times New Roman" w:hAnsi="Times New Roman" w:cs="Times New Roman"/>
              </w:rPr>
              <w:t>Intencją Ministerstwa w zakresie kształtowania warunków wynagradzania lekarzy/specjalistów zatrudnionych na podstawie umowy o pracę było zastosowanie rozwiązań analogicznych, jakie obowiązują w odniesieniu do pracowników zatrudnionych w podmiotach leczniczych</w:t>
            </w:r>
            <w:r w:rsidR="007B4D48" w:rsidRPr="000212FA">
              <w:rPr>
                <w:rFonts w:ascii="Times New Roman" w:hAnsi="Times New Roman" w:cs="Times New Roman"/>
              </w:rPr>
              <w:t xml:space="preserve"> na podstawie ustawy</w:t>
            </w:r>
            <w:r w:rsidR="000233D4" w:rsidRPr="000212FA">
              <w:rPr>
                <w:rFonts w:ascii="Times New Roman" w:hAnsi="Times New Roman" w:cs="Times New Roman"/>
              </w:rPr>
              <w:t xml:space="preserve"> z 8 czerwca 2017 r. </w:t>
            </w:r>
            <w:r w:rsidR="000233D4" w:rsidRPr="000212FA">
              <w:rPr>
                <w:rFonts w:ascii="Times New Roman" w:hAnsi="Times New Roman" w:cs="Times New Roman"/>
                <w:i/>
                <w:iCs/>
              </w:rPr>
              <w:t>o sposobie ustalania najniższego wynagrodzenia zasadniczego niektórych pracowników zatrudnionych w podmiotach leczniczych</w:t>
            </w:r>
            <w:r w:rsidR="000233D4" w:rsidRPr="000212FA">
              <w:rPr>
                <w:rFonts w:ascii="Times New Roman" w:hAnsi="Times New Roman" w:cs="Times New Roman"/>
              </w:rPr>
              <w:t xml:space="preserve"> (Dz. U. z 2017 r.</w:t>
            </w:r>
            <w:r w:rsidR="005B4A9A" w:rsidRPr="000212FA">
              <w:rPr>
                <w:rFonts w:ascii="Times New Roman" w:hAnsi="Times New Roman" w:cs="Times New Roman"/>
              </w:rPr>
              <w:t xml:space="preserve"> </w:t>
            </w:r>
            <w:r w:rsidR="000233D4" w:rsidRPr="000212FA">
              <w:rPr>
                <w:rFonts w:ascii="Times New Roman" w:hAnsi="Times New Roman" w:cs="Times New Roman"/>
              </w:rPr>
              <w:t>poz. 1473</w:t>
            </w:r>
            <w:r w:rsidR="005B4A9A" w:rsidRPr="000212FA">
              <w:rPr>
                <w:rFonts w:ascii="Times New Roman" w:hAnsi="Times New Roman" w:cs="Times New Roman"/>
              </w:rPr>
              <w:t>,</w:t>
            </w:r>
            <w:r w:rsidR="000233D4" w:rsidRPr="000212FA">
              <w:rPr>
                <w:rFonts w:ascii="Times New Roman" w:hAnsi="Times New Roman" w:cs="Times New Roman"/>
              </w:rPr>
              <w:t xml:space="preserve"> z późn.zm.).</w:t>
            </w:r>
          </w:p>
          <w:p w14:paraId="4D9197FA" w14:textId="77777777" w:rsidR="00D218F2" w:rsidRPr="000212FA" w:rsidRDefault="00D218F2" w:rsidP="003318FC">
            <w:pPr>
              <w:spacing w:after="0" w:line="240" w:lineRule="auto"/>
              <w:jc w:val="both"/>
              <w:rPr>
                <w:rFonts w:ascii="Times New Roman" w:hAnsi="Times New Roman" w:cs="Times New Roman"/>
              </w:rPr>
            </w:pPr>
          </w:p>
          <w:p w14:paraId="07EE01EF" w14:textId="3B099371" w:rsidR="00C44491" w:rsidRPr="000212FA" w:rsidRDefault="00C44491" w:rsidP="003318FC">
            <w:pPr>
              <w:spacing w:after="0" w:line="240" w:lineRule="auto"/>
              <w:jc w:val="both"/>
              <w:rPr>
                <w:rFonts w:ascii="Times New Roman" w:hAnsi="Times New Roman" w:cs="Times New Roman"/>
              </w:rPr>
            </w:pPr>
            <w:r w:rsidRPr="000212FA">
              <w:rPr>
                <w:rFonts w:ascii="Times New Roman" w:hAnsi="Times New Roman" w:cs="Times New Roman"/>
              </w:rPr>
              <w:t xml:space="preserve">W </w:t>
            </w:r>
            <w:r w:rsidR="005B4A9A" w:rsidRPr="000212FA">
              <w:rPr>
                <w:rFonts w:ascii="Times New Roman" w:hAnsi="Times New Roman" w:cs="Times New Roman"/>
              </w:rPr>
              <w:t>ZUS</w:t>
            </w:r>
            <w:r w:rsidRPr="000212FA">
              <w:rPr>
                <w:rFonts w:ascii="Times New Roman" w:hAnsi="Times New Roman" w:cs="Times New Roman"/>
              </w:rPr>
              <w:t xml:space="preserve"> funkcjonuje „Zakładowy Układ Zbiorowy Pracy dla pracowników Zakładu Ubezpieczeń Społecznych”, którego obowiązek zawarcia wynikał z treści art. 113</w:t>
            </w:r>
            <w:r w:rsidR="001B39A3" w:rsidRPr="000212FA">
              <w:rPr>
                <w:rFonts w:ascii="Times New Roman" w:hAnsi="Times New Roman" w:cs="Times New Roman"/>
              </w:rPr>
              <w:t>c</w:t>
            </w:r>
            <w:r w:rsidRPr="000212FA">
              <w:rPr>
                <w:rFonts w:ascii="Times New Roman" w:hAnsi="Times New Roman" w:cs="Times New Roman"/>
              </w:rPr>
              <w:t xml:space="preserve"> ust. 6 </w:t>
            </w:r>
            <w:proofErr w:type="spellStart"/>
            <w:r w:rsidRPr="000212FA">
              <w:rPr>
                <w:rFonts w:ascii="Times New Roman" w:hAnsi="Times New Roman" w:cs="Times New Roman"/>
              </w:rPr>
              <w:t>u.s.u.s</w:t>
            </w:r>
            <w:proofErr w:type="spellEnd"/>
            <w:r w:rsidRPr="000212FA">
              <w:rPr>
                <w:rFonts w:ascii="Times New Roman" w:hAnsi="Times New Roman" w:cs="Times New Roman"/>
              </w:rPr>
              <w:t xml:space="preserve">., który określa m.in. zasady wynagradzania. Zakresem tego aktu prawnego objęci są co do zasady wszyscy pracownicy ZUS, bez względu na zajmowane stanowisko i podstawę nawiązania stosunku pracy, z wyłączeniem – w części dotyczącej wynagrodzenia – pracowników zarządzających w imieniu pracodawcy zakładem pracy, zatrudnionych na enumeratywnie wymienionych stanowiskach pracy. </w:t>
            </w:r>
          </w:p>
          <w:p w14:paraId="013AE7DE" w14:textId="25760F1C" w:rsidR="00112641" w:rsidRPr="000212FA" w:rsidRDefault="005B4A9A" w:rsidP="003318FC">
            <w:pPr>
              <w:spacing w:after="0" w:line="240" w:lineRule="auto"/>
              <w:jc w:val="both"/>
              <w:rPr>
                <w:rFonts w:ascii="Times New Roman" w:hAnsi="Times New Roman" w:cs="Times New Roman"/>
              </w:rPr>
            </w:pPr>
            <w:r w:rsidRPr="000212FA">
              <w:rPr>
                <w:rFonts w:ascii="Times New Roman" w:hAnsi="Times New Roman" w:cs="Times New Roman"/>
              </w:rPr>
              <w:lastRenderedPageBreak/>
              <w:t xml:space="preserve">Proponowane brzmienie art. 85b ustawy systemowej jest wyrazem dążenia </w:t>
            </w:r>
            <w:proofErr w:type="spellStart"/>
            <w:r w:rsidRPr="000212FA">
              <w:rPr>
                <w:rFonts w:ascii="Times New Roman" w:hAnsi="Times New Roman" w:cs="Times New Roman"/>
              </w:rPr>
              <w:t>MRPiPS</w:t>
            </w:r>
            <w:proofErr w:type="spellEnd"/>
            <w:r w:rsidRPr="000212FA">
              <w:rPr>
                <w:rFonts w:ascii="Times New Roman" w:hAnsi="Times New Roman" w:cs="Times New Roman"/>
              </w:rPr>
              <w:t xml:space="preserve"> do zachowania przez ww. podmioty uprawnienia do dodatkowych składników wynagrodzenia, zagwarantowanych zapisami ww. układu. Oznacza to, że również w odniesieniu do lekarzy orzeczników oraz osób wykonujących samodzielne zawody medyczne zatrudnionych na podstawie umowy o pracę, w zakresie nieobjętym regulacjami projektowanej ustawy (czyli poza wysokością wynagrodzenia zasadniczego) będą miały zastosowanie postanowienia dotyczące pozostałych składników wynagrodzenia oraz świadczeń związanych z pracą, czyli m.in. premii, dodatku stażowego, dodatku specjalnego, „trzynastki”, nagrody jubileuszowej, odprawy emerytalno-rentowej. W konsekwencji nie ma potrzeby doprecyzowania tej kwestii w przepisach projektowanej ustawy.</w:t>
            </w:r>
          </w:p>
        </w:tc>
      </w:tr>
      <w:tr w:rsidR="00F0743A" w:rsidRPr="000212FA" w14:paraId="3EC9E016" w14:textId="77777777" w:rsidTr="003318FC">
        <w:tc>
          <w:tcPr>
            <w:tcW w:w="567" w:type="dxa"/>
          </w:tcPr>
          <w:p w14:paraId="2E58E6E6" w14:textId="77777777" w:rsidR="00F0743A" w:rsidRPr="000212FA" w:rsidRDefault="00F0743A" w:rsidP="003318FC">
            <w:pPr>
              <w:pStyle w:val="Akapitzlist"/>
              <w:numPr>
                <w:ilvl w:val="0"/>
                <w:numId w:val="1"/>
              </w:numPr>
              <w:spacing w:after="0" w:line="240" w:lineRule="auto"/>
              <w:ind w:left="0" w:firstLine="0"/>
              <w:jc w:val="both"/>
              <w:rPr>
                <w:rFonts w:ascii="Times New Roman" w:hAnsi="Times New Roman" w:cs="Times New Roman"/>
                <w:b/>
              </w:rPr>
            </w:pPr>
          </w:p>
        </w:tc>
        <w:tc>
          <w:tcPr>
            <w:tcW w:w="1418" w:type="dxa"/>
            <w:vAlign w:val="center"/>
          </w:tcPr>
          <w:p w14:paraId="239EDAD3" w14:textId="13BE0EB4" w:rsidR="00F0743A" w:rsidRPr="000212FA" w:rsidRDefault="00F0743A" w:rsidP="003318FC">
            <w:pPr>
              <w:spacing w:after="0" w:line="240" w:lineRule="auto"/>
              <w:jc w:val="both"/>
              <w:rPr>
                <w:rFonts w:ascii="Times New Roman" w:hAnsi="Times New Roman" w:cs="Times New Roman"/>
              </w:rPr>
            </w:pPr>
            <w:r w:rsidRPr="000212FA">
              <w:rPr>
                <w:rFonts w:ascii="Times New Roman" w:hAnsi="Times New Roman" w:cs="Times New Roman"/>
              </w:rPr>
              <w:t>Art. 1 pkt 7 projektu  w zakresie m.in. art. 85</w:t>
            </w:r>
            <w:r w:rsidR="00961B10" w:rsidRPr="000212FA">
              <w:rPr>
                <w:rFonts w:ascii="Times New Roman" w:hAnsi="Times New Roman" w:cs="Times New Roman"/>
              </w:rPr>
              <w:t>e</w:t>
            </w:r>
            <w:r w:rsidRPr="000212FA">
              <w:rPr>
                <w:rFonts w:ascii="Times New Roman" w:hAnsi="Times New Roman" w:cs="Times New Roman"/>
              </w:rPr>
              <w:t xml:space="preserve"> i art. 85</w:t>
            </w:r>
            <w:r w:rsidR="00961B10" w:rsidRPr="000212FA">
              <w:rPr>
                <w:rFonts w:ascii="Times New Roman" w:hAnsi="Times New Roman" w:cs="Times New Roman"/>
              </w:rPr>
              <w:t>f ustawy o sus</w:t>
            </w:r>
          </w:p>
        </w:tc>
        <w:tc>
          <w:tcPr>
            <w:tcW w:w="1559" w:type="dxa"/>
            <w:vAlign w:val="center"/>
          </w:tcPr>
          <w:p w14:paraId="203D9F41" w14:textId="042574E6" w:rsidR="00F0743A" w:rsidRPr="000212FA" w:rsidRDefault="00F0743A" w:rsidP="003318FC">
            <w:pPr>
              <w:spacing w:after="0" w:line="240" w:lineRule="auto"/>
              <w:jc w:val="both"/>
              <w:rPr>
                <w:rFonts w:ascii="Times New Roman" w:hAnsi="Times New Roman" w:cs="Times New Roman"/>
              </w:rPr>
            </w:pPr>
            <w:r w:rsidRPr="000212FA">
              <w:rPr>
                <w:rFonts w:ascii="Times New Roman" w:hAnsi="Times New Roman" w:cs="Times New Roman"/>
              </w:rPr>
              <w:t>RCL</w:t>
            </w:r>
          </w:p>
        </w:tc>
        <w:tc>
          <w:tcPr>
            <w:tcW w:w="4536" w:type="dxa"/>
          </w:tcPr>
          <w:p w14:paraId="771348D7" w14:textId="59CB7E3F" w:rsidR="00F0743A" w:rsidRPr="000212FA" w:rsidRDefault="00961B10" w:rsidP="003318FC">
            <w:pPr>
              <w:autoSpaceDE w:val="0"/>
              <w:autoSpaceDN w:val="0"/>
              <w:adjustRightInd w:val="0"/>
              <w:spacing w:after="0" w:line="240" w:lineRule="auto"/>
              <w:jc w:val="both"/>
              <w:rPr>
                <w:rFonts w:ascii="Times New Roman" w:hAnsi="Times New Roman" w:cs="Times New Roman"/>
              </w:rPr>
            </w:pPr>
            <w:r w:rsidRPr="000212FA">
              <w:rPr>
                <w:rFonts w:ascii="Times New Roman" w:hAnsi="Times New Roman" w:cs="Times New Roman"/>
              </w:rPr>
              <w:t xml:space="preserve">Ponownej analizy wymagają przepisy projektowanej ustawy dotyczące </w:t>
            </w:r>
            <w:r w:rsidRPr="000212FA">
              <w:rPr>
                <w:rFonts w:ascii="Times New Roman" w:hAnsi="Times New Roman" w:cs="Times New Roman"/>
                <w:i/>
                <w:iCs/>
              </w:rPr>
              <w:t xml:space="preserve">„zwierzchniego nadzoru” </w:t>
            </w:r>
            <w:r w:rsidRPr="000212FA">
              <w:rPr>
                <w:rFonts w:ascii="Times New Roman" w:hAnsi="Times New Roman" w:cs="Times New Roman"/>
              </w:rPr>
              <w:t xml:space="preserve">(m.in. projektowany art. 85f </w:t>
            </w:r>
            <w:r w:rsidRPr="000212FA">
              <w:rPr>
                <w:rFonts w:ascii="Times New Roman" w:hAnsi="Times New Roman" w:cs="Times New Roman"/>
                <w:i/>
                <w:iCs/>
              </w:rPr>
              <w:t>ustawy z dnia 13 października 1998 r. o systemie ubezpieczeń społecznych</w:t>
            </w:r>
            <w:r w:rsidRPr="000212FA">
              <w:rPr>
                <w:rFonts w:ascii="Times New Roman" w:hAnsi="Times New Roman" w:cs="Times New Roman"/>
              </w:rPr>
              <w:t xml:space="preserve">) i </w:t>
            </w:r>
            <w:r w:rsidRPr="000212FA">
              <w:rPr>
                <w:rFonts w:ascii="Times New Roman" w:hAnsi="Times New Roman" w:cs="Times New Roman"/>
                <w:i/>
                <w:iCs/>
              </w:rPr>
              <w:t xml:space="preserve">„kontroli” </w:t>
            </w:r>
            <w:r w:rsidRPr="000212FA">
              <w:rPr>
                <w:rFonts w:ascii="Times New Roman" w:hAnsi="Times New Roman" w:cs="Times New Roman"/>
              </w:rPr>
              <w:t xml:space="preserve">(m.in. projektowany art. 85e </w:t>
            </w:r>
            <w:r w:rsidRPr="000212FA">
              <w:rPr>
                <w:rFonts w:ascii="Times New Roman" w:hAnsi="Times New Roman" w:cs="Times New Roman"/>
                <w:i/>
                <w:iCs/>
              </w:rPr>
              <w:t>ustawy z dnia 13 października 1998 r. o systemie ubezpieczeń społecznych</w:t>
            </w:r>
            <w:r w:rsidRPr="000212FA">
              <w:rPr>
                <w:rFonts w:ascii="Times New Roman" w:hAnsi="Times New Roman" w:cs="Times New Roman"/>
              </w:rPr>
              <w:t>). W szczególności wątpliwości</w:t>
            </w:r>
            <w:r w:rsidRPr="000212FA">
              <w:rPr>
                <w:rFonts w:ascii="Times New Roman" w:hAnsi="Times New Roman" w:cs="Times New Roman"/>
                <w:i/>
                <w:iCs/>
              </w:rPr>
              <w:t xml:space="preserve"> </w:t>
            </w:r>
            <w:r w:rsidRPr="000212FA">
              <w:rPr>
                <w:rFonts w:ascii="Times New Roman" w:hAnsi="Times New Roman" w:cs="Times New Roman"/>
              </w:rPr>
              <w:t xml:space="preserve">budzi upoważnianie w art. 85f ust. 4 do określenia w akcie wykonawczym </w:t>
            </w:r>
            <w:r w:rsidRPr="000212FA">
              <w:rPr>
                <w:rFonts w:ascii="Times New Roman" w:hAnsi="Times New Roman" w:cs="Times New Roman"/>
                <w:i/>
                <w:iCs/>
              </w:rPr>
              <w:t>„szczegółowych zasad sprawowania zwierzchniego nadzoru”</w:t>
            </w:r>
            <w:r w:rsidRPr="000212FA">
              <w:rPr>
                <w:rFonts w:ascii="Times New Roman" w:hAnsi="Times New Roman" w:cs="Times New Roman"/>
              </w:rPr>
              <w:t>, jak również stanowienie, że zwierzchni</w:t>
            </w:r>
            <w:r w:rsidRPr="000212FA">
              <w:rPr>
                <w:rFonts w:ascii="Times New Roman" w:hAnsi="Times New Roman" w:cs="Times New Roman"/>
                <w:i/>
                <w:iCs/>
              </w:rPr>
              <w:t xml:space="preserve"> </w:t>
            </w:r>
            <w:r w:rsidRPr="000212FA">
              <w:rPr>
                <w:rFonts w:ascii="Times New Roman" w:hAnsi="Times New Roman" w:cs="Times New Roman"/>
              </w:rPr>
              <w:t xml:space="preserve">nadzór Prezes Zakładu wykonuje </w:t>
            </w:r>
            <w:r w:rsidRPr="000212FA">
              <w:rPr>
                <w:rFonts w:ascii="Times New Roman" w:hAnsi="Times New Roman" w:cs="Times New Roman"/>
                <w:i/>
                <w:iCs/>
              </w:rPr>
              <w:t xml:space="preserve">„za pośrednictwem </w:t>
            </w:r>
            <w:r w:rsidRPr="000212FA">
              <w:rPr>
                <w:rFonts w:ascii="Times New Roman" w:hAnsi="Times New Roman" w:cs="Times New Roman"/>
                <w:i/>
                <w:iCs/>
              </w:rPr>
              <w:lastRenderedPageBreak/>
              <w:t xml:space="preserve">Naczelnego Lekarza Zakładu” </w:t>
            </w:r>
            <w:r w:rsidRPr="000212FA">
              <w:rPr>
                <w:rFonts w:ascii="Times New Roman" w:hAnsi="Times New Roman" w:cs="Times New Roman"/>
              </w:rPr>
              <w:t xml:space="preserve">(projektowany art. 85f ust. 1), a Naczelny Lekarz Zakładu realizuje zwierzchni nadzór </w:t>
            </w:r>
            <w:r w:rsidRPr="000212FA">
              <w:rPr>
                <w:rFonts w:ascii="Times New Roman" w:hAnsi="Times New Roman" w:cs="Times New Roman"/>
                <w:i/>
                <w:iCs/>
              </w:rPr>
              <w:t xml:space="preserve">„przy pomocy lekarzy inspektorów nadzoru orzecznictwa lekarskiego” </w:t>
            </w:r>
            <w:r w:rsidRPr="000212FA">
              <w:rPr>
                <w:rFonts w:ascii="Times New Roman" w:hAnsi="Times New Roman" w:cs="Times New Roman"/>
              </w:rPr>
              <w:t>(projektowany art. 85f</w:t>
            </w:r>
            <w:r w:rsidRPr="000212FA">
              <w:rPr>
                <w:rFonts w:ascii="Times New Roman" w:hAnsi="Times New Roman" w:cs="Times New Roman"/>
                <w:i/>
                <w:iCs/>
              </w:rPr>
              <w:t xml:space="preserve"> </w:t>
            </w:r>
            <w:r w:rsidRPr="000212FA">
              <w:rPr>
                <w:rFonts w:ascii="Times New Roman" w:hAnsi="Times New Roman" w:cs="Times New Roman"/>
              </w:rPr>
              <w:t>ust. 2), w sytuacji gdy z projektowanego art. 73 ust. 3 pkt 5 wynika, że zwierzchni nadzór</w:t>
            </w:r>
            <w:r w:rsidRPr="000212FA">
              <w:rPr>
                <w:rFonts w:ascii="Times New Roman" w:hAnsi="Times New Roman" w:cs="Times New Roman"/>
                <w:i/>
                <w:iCs/>
              </w:rPr>
              <w:t xml:space="preserve"> </w:t>
            </w:r>
            <w:r w:rsidRPr="000212FA">
              <w:rPr>
                <w:rFonts w:ascii="Times New Roman" w:hAnsi="Times New Roman" w:cs="Times New Roman"/>
              </w:rPr>
              <w:t>należy do zakresu działania Prezesa Zakładu. Zauważenia wymaga, że regulacje dotyczące</w:t>
            </w:r>
            <w:r w:rsidRPr="000212FA">
              <w:rPr>
                <w:rFonts w:ascii="Times New Roman" w:hAnsi="Times New Roman" w:cs="Times New Roman"/>
                <w:i/>
                <w:iCs/>
              </w:rPr>
              <w:t xml:space="preserve"> </w:t>
            </w:r>
            <w:r w:rsidRPr="000212FA">
              <w:rPr>
                <w:rFonts w:ascii="Times New Roman" w:hAnsi="Times New Roman" w:cs="Times New Roman"/>
              </w:rPr>
              <w:t xml:space="preserve">nadzoru i kontroli wymagają szczególnej uwagi, tak, aby uniknąć </w:t>
            </w:r>
            <w:r w:rsidRPr="000212FA">
              <w:rPr>
                <w:rFonts w:ascii="Times New Roman" w:hAnsi="Times New Roman" w:cs="Times New Roman"/>
                <w:i/>
                <w:iCs/>
              </w:rPr>
              <w:t xml:space="preserve">„przenoszenia” </w:t>
            </w:r>
            <w:r w:rsidRPr="000212FA">
              <w:rPr>
                <w:rFonts w:ascii="Times New Roman" w:hAnsi="Times New Roman" w:cs="Times New Roman"/>
              </w:rPr>
              <w:t>norm</w:t>
            </w:r>
            <w:r w:rsidRPr="000212FA">
              <w:rPr>
                <w:rFonts w:ascii="Times New Roman" w:hAnsi="Times New Roman" w:cs="Times New Roman"/>
                <w:i/>
                <w:iCs/>
              </w:rPr>
              <w:t xml:space="preserve"> </w:t>
            </w:r>
            <w:r w:rsidRPr="000212FA">
              <w:rPr>
                <w:rFonts w:ascii="Times New Roman" w:hAnsi="Times New Roman" w:cs="Times New Roman"/>
              </w:rPr>
              <w:t xml:space="preserve">ustawowych do aktu </w:t>
            </w:r>
            <w:proofErr w:type="spellStart"/>
            <w:r w:rsidRPr="000212FA">
              <w:rPr>
                <w:rFonts w:ascii="Times New Roman" w:hAnsi="Times New Roman" w:cs="Times New Roman"/>
              </w:rPr>
              <w:t>podustawowego</w:t>
            </w:r>
            <w:proofErr w:type="spellEnd"/>
            <w:r w:rsidRPr="000212FA">
              <w:rPr>
                <w:rFonts w:ascii="Times New Roman" w:hAnsi="Times New Roman" w:cs="Times New Roman"/>
              </w:rPr>
              <w:t>, ich uzupełniania w akcie wykonawczym oraz</w:t>
            </w:r>
            <w:r w:rsidRPr="000212FA">
              <w:rPr>
                <w:rFonts w:ascii="Times New Roman" w:hAnsi="Times New Roman" w:cs="Times New Roman"/>
                <w:i/>
                <w:iCs/>
              </w:rPr>
              <w:t xml:space="preserve"> </w:t>
            </w:r>
            <w:r w:rsidRPr="000212FA">
              <w:rPr>
                <w:rFonts w:ascii="Times New Roman" w:hAnsi="Times New Roman" w:cs="Times New Roman"/>
              </w:rPr>
              <w:t>blankietowości unormowań, mając na uwadze potrzebę precyzyjnego określenia zakresu</w:t>
            </w:r>
            <w:r w:rsidRPr="000212FA">
              <w:rPr>
                <w:rFonts w:ascii="Times New Roman" w:hAnsi="Times New Roman" w:cs="Times New Roman"/>
                <w:i/>
                <w:iCs/>
              </w:rPr>
              <w:t xml:space="preserve"> </w:t>
            </w:r>
            <w:r w:rsidRPr="000212FA">
              <w:rPr>
                <w:rFonts w:ascii="Times New Roman" w:hAnsi="Times New Roman" w:cs="Times New Roman"/>
              </w:rPr>
              <w:t>kompetencji podmiotów uprawnionych do kontroli.</w:t>
            </w:r>
          </w:p>
        </w:tc>
        <w:tc>
          <w:tcPr>
            <w:tcW w:w="3402" w:type="dxa"/>
            <w:vAlign w:val="center"/>
          </w:tcPr>
          <w:p w14:paraId="39DE6434" w14:textId="77777777" w:rsidR="00F0743A" w:rsidRPr="000212FA" w:rsidRDefault="00F0743A" w:rsidP="003318FC">
            <w:pPr>
              <w:spacing w:after="0" w:line="240" w:lineRule="auto"/>
              <w:jc w:val="both"/>
              <w:rPr>
                <w:rFonts w:ascii="Times New Roman" w:hAnsi="Times New Roman" w:cs="Times New Roman"/>
              </w:rPr>
            </w:pPr>
          </w:p>
        </w:tc>
        <w:tc>
          <w:tcPr>
            <w:tcW w:w="4253" w:type="dxa"/>
          </w:tcPr>
          <w:p w14:paraId="078AA271" w14:textId="51D2731C" w:rsidR="00E60663" w:rsidRPr="000212FA" w:rsidRDefault="00484951" w:rsidP="003318FC">
            <w:pPr>
              <w:pStyle w:val="Akapitzlist"/>
              <w:numPr>
                <w:ilvl w:val="0"/>
                <w:numId w:val="7"/>
              </w:numPr>
              <w:spacing w:after="0" w:line="240" w:lineRule="auto"/>
              <w:ind w:left="0"/>
              <w:jc w:val="both"/>
              <w:rPr>
                <w:rFonts w:ascii="Times New Roman" w:hAnsi="Times New Roman" w:cs="Times New Roman"/>
                <w:b/>
                <w:bCs/>
              </w:rPr>
            </w:pPr>
            <w:r w:rsidRPr="000212FA">
              <w:rPr>
                <w:rFonts w:ascii="Times New Roman" w:hAnsi="Times New Roman" w:cs="Times New Roman"/>
                <w:b/>
                <w:bCs/>
              </w:rPr>
              <w:t xml:space="preserve">Uwaga </w:t>
            </w:r>
            <w:r w:rsidR="00037B89" w:rsidRPr="000212FA">
              <w:rPr>
                <w:rFonts w:ascii="Times New Roman" w:hAnsi="Times New Roman" w:cs="Times New Roman"/>
                <w:b/>
                <w:bCs/>
              </w:rPr>
              <w:t>uwzględniona</w:t>
            </w:r>
            <w:r w:rsidRPr="000212FA">
              <w:rPr>
                <w:rFonts w:ascii="Times New Roman" w:hAnsi="Times New Roman" w:cs="Times New Roman"/>
                <w:b/>
                <w:bCs/>
              </w:rPr>
              <w:t>.</w:t>
            </w:r>
          </w:p>
          <w:p w14:paraId="22C940BE" w14:textId="77777777" w:rsidR="00484951" w:rsidRPr="000212FA" w:rsidRDefault="00484951" w:rsidP="003318FC">
            <w:pPr>
              <w:pStyle w:val="Akapitzlist"/>
              <w:numPr>
                <w:ilvl w:val="0"/>
                <w:numId w:val="7"/>
              </w:numPr>
              <w:spacing w:after="0" w:line="240" w:lineRule="auto"/>
              <w:ind w:left="0"/>
              <w:jc w:val="both"/>
              <w:rPr>
                <w:rFonts w:ascii="Times New Roman" w:hAnsi="Times New Roman" w:cs="Times New Roman"/>
              </w:rPr>
            </w:pPr>
          </w:p>
          <w:p w14:paraId="3DD6EE85" w14:textId="66E98EC5" w:rsidR="00484951" w:rsidRPr="000212FA" w:rsidRDefault="00484951" w:rsidP="003318FC">
            <w:pPr>
              <w:pStyle w:val="Akapitzlist"/>
              <w:numPr>
                <w:ilvl w:val="0"/>
                <w:numId w:val="7"/>
              </w:numPr>
              <w:spacing w:after="0" w:line="240" w:lineRule="auto"/>
              <w:ind w:left="0"/>
              <w:jc w:val="both"/>
              <w:rPr>
                <w:rFonts w:ascii="Times New Roman" w:hAnsi="Times New Roman" w:cs="Times New Roman"/>
              </w:rPr>
            </w:pPr>
            <w:r w:rsidRPr="000212FA">
              <w:rPr>
                <w:rFonts w:ascii="Times New Roman" w:hAnsi="Times New Roman" w:cs="Times New Roman"/>
              </w:rPr>
              <w:t>Zapisy projektu zostały przeredagowane.</w:t>
            </w:r>
          </w:p>
          <w:p w14:paraId="2186F1AE" w14:textId="237C8674" w:rsidR="00484951" w:rsidRPr="000212FA" w:rsidRDefault="00037B89" w:rsidP="003318FC">
            <w:pPr>
              <w:pStyle w:val="Akapitzlist"/>
              <w:numPr>
                <w:ilvl w:val="0"/>
                <w:numId w:val="7"/>
              </w:numPr>
              <w:spacing w:after="0" w:line="240" w:lineRule="auto"/>
              <w:ind w:left="0"/>
              <w:jc w:val="both"/>
              <w:rPr>
                <w:rFonts w:ascii="Times New Roman" w:hAnsi="Times New Roman" w:cs="Times New Roman"/>
              </w:rPr>
            </w:pPr>
            <w:r w:rsidRPr="000212FA">
              <w:rPr>
                <w:rFonts w:ascii="Times New Roman" w:hAnsi="Times New Roman" w:cs="Times New Roman"/>
              </w:rPr>
              <w:t>Zrezygnowano z regulacji „kontroli” i „nadzoru” w akcie wykonawczym.</w:t>
            </w:r>
          </w:p>
          <w:p w14:paraId="24A5763D" w14:textId="77777777" w:rsidR="00484951" w:rsidRPr="000212FA" w:rsidRDefault="00484951" w:rsidP="003318FC">
            <w:pPr>
              <w:pStyle w:val="Akapitzlist"/>
              <w:spacing w:after="0" w:line="240" w:lineRule="auto"/>
              <w:ind w:left="0"/>
              <w:jc w:val="both"/>
              <w:rPr>
                <w:rFonts w:ascii="Times New Roman" w:hAnsi="Times New Roman" w:cs="Times New Roman"/>
              </w:rPr>
            </w:pPr>
          </w:p>
          <w:p w14:paraId="29D7AAF0" w14:textId="77777777" w:rsidR="00484951" w:rsidRPr="000212FA" w:rsidRDefault="00484951" w:rsidP="003318FC">
            <w:pPr>
              <w:pStyle w:val="Akapitzlist"/>
              <w:spacing w:after="0" w:line="240" w:lineRule="auto"/>
              <w:ind w:left="0"/>
              <w:jc w:val="both"/>
              <w:rPr>
                <w:rFonts w:ascii="Times New Roman" w:hAnsi="Times New Roman" w:cs="Times New Roman"/>
              </w:rPr>
            </w:pPr>
          </w:p>
          <w:p w14:paraId="2367E5D9" w14:textId="77777777" w:rsidR="003B64D2" w:rsidRPr="000212FA" w:rsidRDefault="003B64D2" w:rsidP="003318FC">
            <w:pPr>
              <w:spacing w:after="0" w:line="240" w:lineRule="auto"/>
              <w:jc w:val="both"/>
              <w:rPr>
                <w:rFonts w:ascii="Times New Roman" w:hAnsi="Times New Roman" w:cs="Times New Roman"/>
              </w:rPr>
            </w:pPr>
          </w:p>
          <w:p w14:paraId="24514A88" w14:textId="77777777" w:rsidR="003B64D2" w:rsidRPr="000212FA" w:rsidRDefault="003B64D2" w:rsidP="003318FC">
            <w:pPr>
              <w:spacing w:after="0" w:line="240" w:lineRule="auto"/>
              <w:jc w:val="both"/>
              <w:rPr>
                <w:rFonts w:ascii="Times New Roman" w:hAnsi="Times New Roman" w:cs="Times New Roman"/>
              </w:rPr>
            </w:pPr>
          </w:p>
          <w:p w14:paraId="1C890ECF" w14:textId="77777777" w:rsidR="00E92CEB" w:rsidRPr="000212FA" w:rsidRDefault="00E92CEB" w:rsidP="003318FC">
            <w:pPr>
              <w:spacing w:after="0" w:line="240" w:lineRule="auto"/>
              <w:jc w:val="both"/>
              <w:rPr>
                <w:rFonts w:ascii="Times New Roman" w:hAnsi="Times New Roman" w:cs="Times New Roman"/>
              </w:rPr>
            </w:pPr>
          </w:p>
          <w:p w14:paraId="052A1C65" w14:textId="77777777" w:rsidR="00E92CEB" w:rsidRPr="000212FA" w:rsidRDefault="00E92CEB" w:rsidP="003318FC">
            <w:pPr>
              <w:spacing w:after="0" w:line="240" w:lineRule="auto"/>
              <w:jc w:val="both"/>
              <w:rPr>
                <w:rFonts w:ascii="Times New Roman" w:hAnsi="Times New Roman" w:cs="Times New Roman"/>
              </w:rPr>
            </w:pPr>
          </w:p>
          <w:p w14:paraId="20CC64FB" w14:textId="77777777" w:rsidR="00E92CEB" w:rsidRPr="000212FA" w:rsidRDefault="00E92CEB" w:rsidP="003318FC">
            <w:pPr>
              <w:spacing w:after="0" w:line="240" w:lineRule="auto"/>
              <w:jc w:val="both"/>
              <w:rPr>
                <w:rFonts w:ascii="Times New Roman" w:hAnsi="Times New Roman" w:cs="Times New Roman"/>
              </w:rPr>
            </w:pPr>
          </w:p>
          <w:p w14:paraId="3B2AC490" w14:textId="77777777" w:rsidR="00E92CEB" w:rsidRPr="000212FA" w:rsidRDefault="00E92CEB" w:rsidP="003318FC">
            <w:pPr>
              <w:spacing w:after="0" w:line="240" w:lineRule="auto"/>
              <w:jc w:val="both"/>
              <w:rPr>
                <w:rFonts w:ascii="Times New Roman" w:hAnsi="Times New Roman" w:cs="Times New Roman"/>
              </w:rPr>
            </w:pPr>
          </w:p>
          <w:p w14:paraId="5298AD39" w14:textId="77777777" w:rsidR="00E92CEB" w:rsidRPr="000212FA" w:rsidRDefault="00E92CEB" w:rsidP="003318FC">
            <w:pPr>
              <w:spacing w:after="0" w:line="240" w:lineRule="auto"/>
              <w:jc w:val="both"/>
              <w:rPr>
                <w:rFonts w:ascii="Times New Roman" w:hAnsi="Times New Roman" w:cs="Times New Roman"/>
              </w:rPr>
            </w:pPr>
          </w:p>
          <w:p w14:paraId="45745D38" w14:textId="77777777" w:rsidR="00E92CEB" w:rsidRPr="000212FA" w:rsidRDefault="00E92CEB" w:rsidP="003318FC">
            <w:pPr>
              <w:spacing w:after="0" w:line="240" w:lineRule="auto"/>
              <w:jc w:val="both"/>
              <w:rPr>
                <w:rFonts w:ascii="Times New Roman" w:hAnsi="Times New Roman" w:cs="Times New Roman"/>
              </w:rPr>
            </w:pPr>
          </w:p>
          <w:p w14:paraId="6BD4B574" w14:textId="77777777" w:rsidR="00E92CEB" w:rsidRPr="000212FA" w:rsidRDefault="00E92CEB" w:rsidP="003318FC">
            <w:pPr>
              <w:spacing w:after="0" w:line="240" w:lineRule="auto"/>
              <w:jc w:val="both"/>
              <w:rPr>
                <w:rFonts w:ascii="Times New Roman" w:hAnsi="Times New Roman" w:cs="Times New Roman"/>
              </w:rPr>
            </w:pPr>
          </w:p>
          <w:p w14:paraId="32BAE21A" w14:textId="77777777" w:rsidR="00E92CEB" w:rsidRPr="000212FA" w:rsidRDefault="00E92CEB" w:rsidP="003318FC">
            <w:pPr>
              <w:spacing w:after="0" w:line="240" w:lineRule="auto"/>
              <w:jc w:val="both"/>
              <w:rPr>
                <w:rFonts w:ascii="Times New Roman" w:hAnsi="Times New Roman" w:cs="Times New Roman"/>
              </w:rPr>
            </w:pPr>
          </w:p>
          <w:p w14:paraId="557ED553" w14:textId="77777777" w:rsidR="00E92CEB" w:rsidRPr="000212FA" w:rsidRDefault="00E92CEB" w:rsidP="003318FC">
            <w:pPr>
              <w:spacing w:after="0" w:line="240" w:lineRule="auto"/>
              <w:jc w:val="both"/>
              <w:rPr>
                <w:rFonts w:ascii="Times New Roman" w:hAnsi="Times New Roman" w:cs="Times New Roman"/>
              </w:rPr>
            </w:pPr>
          </w:p>
          <w:p w14:paraId="632882C8" w14:textId="77777777" w:rsidR="00E92CEB" w:rsidRPr="000212FA" w:rsidRDefault="00E92CEB" w:rsidP="003318FC">
            <w:pPr>
              <w:spacing w:after="0" w:line="240" w:lineRule="auto"/>
              <w:jc w:val="both"/>
              <w:rPr>
                <w:rFonts w:ascii="Times New Roman" w:hAnsi="Times New Roman" w:cs="Times New Roman"/>
              </w:rPr>
            </w:pPr>
          </w:p>
          <w:p w14:paraId="15C4B442" w14:textId="77777777" w:rsidR="00E92CEB" w:rsidRPr="000212FA" w:rsidRDefault="00E92CEB" w:rsidP="003318FC">
            <w:pPr>
              <w:spacing w:after="0" w:line="240" w:lineRule="auto"/>
              <w:jc w:val="both"/>
              <w:rPr>
                <w:rFonts w:ascii="Times New Roman" w:hAnsi="Times New Roman" w:cs="Times New Roman"/>
              </w:rPr>
            </w:pPr>
          </w:p>
          <w:p w14:paraId="6D177483" w14:textId="77777777" w:rsidR="00E92CEB" w:rsidRPr="000212FA" w:rsidRDefault="00E92CEB" w:rsidP="003318FC">
            <w:pPr>
              <w:spacing w:after="0" w:line="240" w:lineRule="auto"/>
              <w:jc w:val="both"/>
              <w:rPr>
                <w:rFonts w:ascii="Times New Roman" w:hAnsi="Times New Roman" w:cs="Times New Roman"/>
              </w:rPr>
            </w:pPr>
          </w:p>
          <w:p w14:paraId="4F47ED88" w14:textId="77777777" w:rsidR="00E92CEB" w:rsidRPr="000212FA" w:rsidRDefault="00E92CEB" w:rsidP="003318FC">
            <w:pPr>
              <w:spacing w:after="0" w:line="240" w:lineRule="auto"/>
              <w:jc w:val="both"/>
              <w:rPr>
                <w:rFonts w:ascii="Times New Roman" w:hAnsi="Times New Roman" w:cs="Times New Roman"/>
              </w:rPr>
            </w:pPr>
          </w:p>
          <w:p w14:paraId="23B701B9" w14:textId="37DDB3CF" w:rsidR="00E92CEB" w:rsidRPr="000212FA" w:rsidRDefault="00E92CEB" w:rsidP="003318FC">
            <w:pPr>
              <w:spacing w:after="0" w:line="240" w:lineRule="auto"/>
              <w:jc w:val="both"/>
              <w:rPr>
                <w:rFonts w:ascii="Times New Roman" w:hAnsi="Times New Roman" w:cs="Times New Roman"/>
              </w:rPr>
            </w:pPr>
          </w:p>
        </w:tc>
      </w:tr>
      <w:tr w:rsidR="00F0743A" w:rsidRPr="000212FA" w14:paraId="1613D47E" w14:textId="7726FEAB" w:rsidTr="003318FC">
        <w:tc>
          <w:tcPr>
            <w:tcW w:w="567" w:type="dxa"/>
          </w:tcPr>
          <w:p w14:paraId="785BD9FB" w14:textId="77777777" w:rsidR="00F0743A" w:rsidRPr="000212FA" w:rsidRDefault="00F0743A" w:rsidP="003318FC">
            <w:pPr>
              <w:pStyle w:val="Akapitzlist"/>
              <w:numPr>
                <w:ilvl w:val="0"/>
                <w:numId w:val="1"/>
              </w:numPr>
              <w:spacing w:after="0" w:line="240" w:lineRule="auto"/>
              <w:ind w:left="0" w:firstLine="0"/>
              <w:jc w:val="both"/>
              <w:rPr>
                <w:rFonts w:ascii="Times New Roman" w:hAnsi="Times New Roman" w:cs="Times New Roman"/>
                <w:b/>
              </w:rPr>
            </w:pPr>
          </w:p>
        </w:tc>
        <w:tc>
          <w:tcPr>
            <w:tcW w:w="1418" w:type="dxa"/>
            <w:vAlign w:val="center"/>
          </w:tcPr>
          <w:p w14:paraId="76C67C59" w14:textId="4AB13BFA" w:rsidR="00F0743A" w:rsidRPr="000212FA" w:rsidRDefault="00F0743A" w:rsidP="003318FC">
            <w:pPr>
              <w:spacing w:after="0" w:line="240" w:lineRule="auto"/>
              <w:jc w:val="both"/>
              <w:rPr>
                <w:rFonts w:ascii="Times New Roman" w:hAnsi="Times New Roman" w:cs="Times New Roman"/>
              </w:rPr>
            </w:pPr>
            <w:r w:rsidRPr="000212FA">
              <w:rPr>
                <w:rFonts w:ascii="Times New Roman" w:hAnsi="Times New Roman" w:cs="Times New Roman"/>
              </w:rPr>
              <w:t>Art. 12</w:t>
            </w:r>
          </w:p>
        </w:tc>
        <w:tc>
          <w:tcPr>
            <w:tcW w:w="1559" w:type="dxa"/>
            <w:vAlign w:val="center"/>
          </w:tcPr>
          <w:p w14:paraId="379D6070" w14:textId="10321A4C" w:rsidR="00F0743A" w:rsidRPr="000212FA" w:rsidRDefault="00F0743A" w:rsidP="003318FC">
            <w:pPr>
              <w:spacing w:after="0" w:line="240" w:lineRule="auto"/>
              <w:jc w:val="both"/>
              <w:rPr>
                <w:rFonts w:ascii="Times New Roman" w:hAnsi="Times New Roman" w:cs="Times New Roman"/>
              </w:rPr>
            </w:pPr>
            <w:r w:rsidRPr="000212FA">
              <w:rPr>
                <w:rFonts w:ascii="Times New Roman" w:hAnsi="Times New Roman" w:cs="Times New Roman"/>
              </w:rPr>
              <w:t>RCL</w:t>
            </w:r>
          </w:p>
        </w:tc>
        <w:tc>
          <w:tcPr>
            <w:tcW w:w="4536" w:type="dxa"/>
          </w:tcPr>
          <w:p w14:paraId="2B897724" w14:textId="3AA1B514" w:rsidR="00F0743A" w:rsidRPr="000212FA" w:rsidRDefault="00961B10" w:rsidP="003318FC">
            <w:pPr>
              <w:autoSpaceDE w:val="0"/>
              <w:autoSpaceDN w:val="0"/>
              <w:adjustRightInd w:val="0"/>
              <w:spacing w:after="0" w:line="240" w:lineRule="auto"/>
              <w:jc w:val="both"/>
              <w:rPr>
                <w:rFonts w:ascii="Times New Roman" w:hAnsi="Times New Roman" w:cs="Times New Roman"/>
              </w:rPr>
            </w:pPr>
            <w:r w:rsidRPr="000212FA">
              <w:rPr>
                <w:rFonts w:ascii="Times New Roman" w:hAnsi="Times New Roman" w:cs="Times New Roman"/>
              </w:rPr>
              <w:t xml:space="preserve">Należy zauważyć, że regulacja zawarta w art. 12 projektu nie była objęta treścią wniosku o wpis do </w:t>
            </w:r>
            <w:r w:rsidRPr="000212FA">
              <w:rPr>
                <w:rFonts w:ascii="Times New Roman" w:hAnsi="Times New Roman" w:cs="Times New Roman"/>
                <w:i/>
                <w:iCs/>
              </w:rPr>
              <w:t>„Wykazu prac legislacyjnych i programowych Rady Ministrów”</w:t>
            </w:r>
            <w:r w:rsidRPr="000212FA">
              <w:rPr>
                <w:rFonts w:ascii="Times New Roman" w:hAnsi="Times New Roman" w:cs="Times New Roman"/>
              </w:rPr>
              <w:t>.</w:t>
            </w:r>
          </w:p>
        </w:tc>
        <w:tc>
          <w:tcPr>
            <w:tcW w:w="3402" w:type="dxa"/>
            <w:vAlign w:val="center"/>
          </w:tcPr>
          <w:p w14:paraId="53AC5A5F" w14:textId="09C4A9BD" w:rsidR="00F0743A" w:rsidRPr="000212FA" w:rsidRDefault="00F0743A" w:rsidP="003318FC">
            <w:pPr>
              <w:spacing w:after="0" w:line="240" w:lineRule="auto"/>
              <w:jc w:val="both"/>
              <w:rPr>
                <w:rFonts w:ascii="Times New Roman" w:hAnsi="Times New Roman" w:cs="Times New Roman"/>
              </w:rPr>
            </w:pPr>
          </w:p>
        </w:tc>
        <w:tc>
          <w:tcPr>
            <w:tcW w:w="4253" w:type="dxa"/>
          </w:tcPr>
          <w:p w14:paraId="5473E371" w14:textId="75B6CF5B" w:rsidR="0083329B" w:rsidRPr="000212FA" w:rsidRDefault="0083329B" w:rsidP="003318FC">
            <w:pPr>
              <w:spacing w:after="0" w:line="240" w:lineRule="auto"/>
              <w:jc w:val="both"/>
              <w:rPr>
                <w:rFonts w:ascii="Times New Roman" w:hAnsi="Times New Roman" w:cs="Times New Roman"/>
                <w:b/>
                <w:bCs/>
              </w:rPr>
            </w:pPr>
            <w:r w:rsidRPr="000212FA">
              <w:rPr>
                <w:rFonts w:ascii="Times New Roman" w:hAnsi="Times New Roman" w:cs="Times New Roman"/>
                <w:b/>
                <w:bCs/>
              </w:rPr>
              <w:t xml:space="preserve">Uwaga </w:t>
            </w:r>
            <w:r w:rsidR="00331DDF" w:rsidRPr="000212FA">
              <w:rPr>
                <w:rFonts w:ascii="Times New Roman" w:hAnsi="Times New Roman" w:cs="Times New Roman"/>
                <w:b/>
                <w:bCs/>
              </w:rPr>
              <w:t>wyjaśniona</w:t>
            </w:r>
            <w:r w:rsidRPr="000212FA">
              <w:rPr>
                <w:rFonts w:ascii="Times New Roman" w:hAnsi="Times New Roman" w:cs="Times New Roman"/>
                <w:b/>
                <w:bCs/>
              </w:rPr>
              <w:t>.</w:t>
            </w:r>
          </w:p>
          <w:p w14:paraId="1F58508F" w14:textId="77777777" w:rsidR="0083329B" w:rsidRPr="000212FA" w:rsidRDefault="0083329B" w:rsidP="003318FC">
            <w:pPr>
              <w:spacing w:after="0" w:line="240" w:lineRule="auto"/>
              <w:jc w:val="both"/>
              <w:rPr>
                <w:rFonts w:ascii="Times New Roman" w:hAnsi="Times New Roman" w:cs="Times New Roman"/>
              </w:rPr>
            </w:pPr>
          </w:p>
          <w:p w14:paraId="42ADBD96" w14:textId="45BAA2C0" w:rsidR="00DD34F1" w:rsidRPr="000212FA" w:rsidRDefault="00DD34F1" w:rsidP="003318FC">
            <w:pPr>
              <w:spacing w:after="0" w:line="240" w:lineRule="auto"/>
              <w:jc w:val="both"/>
              <w:rPr>
                <w:rFonts w:ascii="Times New Roman" w:hAnsi="Times New Roman" w:cs="Times New Roman"/>
              </w:rPr>
            </w:pPr>
            <w:r w:rsidRPr="000212FA">
              <w:rPr>
                <w:rFonts w:ascii="Times New Roman" w:hAnsi="Times New Roman" w:cs="Times New Roman"/>
              </w:rPr>
              <w:t>Z</w:t>
            </w:r>
            <w:r w:rsidR="0083329B" w:rsidRPr="000212FA">
              <w:rPr>
                <w:rFonts w:ascii="Times New Roman" w:hAnsi="Times New Roman" w:cs="Times New Roman"/>
              </w:rPr>
              <w:t>awarta w art. 12 projektu ustawy regulacja nie była pierwotnie objęta treścią wniosku o wpis</w:t>
            </w:r>
            <w:r w:rsidRPr="000212FA">
              <w:rPr>
                <w:rFonts w:ascii="Times New Roman" w:hAnsi="Times New Roman" w:cs="Times New Roman"/>
              </w:rPr>
              <w:t xml:space="preserve"> do </w:t>
            </w:r>
            <w:r w:rsidRPr="000212FA">
              <w:rPr>
                <w:rFonts w:ascii="Times New Roman" w:hAnsi="Times New Roman" w:cs="Times New Roman"/>
                <w:i/>
                <w:iCs/>
              </w:rPr>
              <w:t>„Wykazu prac legislacyjnych i programowych Rady Ministrów”</w:t>
            </w:r>
            <w:r w:rsidRPr="000212FA">
              <w:rPr>
                <w:rFonts w:ascii="Times New Roman" w:hAnsi="Times New Roman" w:cs="Times New Roman"/>
              </w:rPr>
              <w:t>.</w:t>
            </w:r>
          </w:p>
          <w:p w14:paraId="0B46ECDF" w14:textId="240284FB" w:rsidR="007F3EB2" w:rsidRPr="000212FA" w:rsidRDefault="007F3EB2" w:rsidP="003318FC">
            <w:pPr>
              <w:spacing w:after="0" w:line="240" w:lineRule="auto"/>
              <w:jc w:val="both"/>
              <w:rPr>
                <w:rFonts w:ascii="Times New Roman" w:hAnsi="Times New Roman" w:cs="Times New Roman"/>
              </w:rPr>
            </w:pPr>
            <w:r w:rsidRPr="000212FA">
              <w:rPr>
                <w:rFonts w:ascii="Times New Roman" w:hAnsi="Times New Roman" w:cs="Times New Roman"/>
              </w:rPr>
              <w:t>U</w:t>
            </w:r>
            <w:r w:rsidR="0083329B" w:rsidRPr="000212FA">
              <w:rPr>
                <w:rFonts w:ascii="Times New Roman" w:hAnsi="Times New Roman" w:cs="Times New Roman"/>
              </w:rPr>
              <w:t>względnieni</w:t>
            </w:r>
            <w:r w:rsidRPr="000212FA">
              <w:rPr>
                <w:rFonts w:ascii="Times New Roman" w:hAnsi="Times New Roman" w:cs="Times New Roman"/>
              </w:rPr>
              <w:t>e</w:t>
            </w:r>
            <w:r w:rsidR="0083329B" w:rsidRPr="000212FA">
              <w:rPr>
                <w:rFonts w:ascii="Times New Roman" w:hAnsi="Times New Roman" w:cs="Times New Roman"/>
              </w:rPr>
              <w:t xml:space="preserve"> projektowanej zmiany jest</w:t>
            </w:r>
            <w:r w:rsidRPr="000212FA">
              <w:rPr>
                <w:rFonts w:ascii="Times New Roman" w:hAnsi="Times New Roman" w:cs="Times New Roman"/>
              </w:rPr>
              <w:t xml:space="preserve"> jednakże</w:t>
            </w:r>
            <w:r w:rsidR="0083329B" w:rsidRPr="000212FA">
              <w:rPr>
                <w:rFonts w:ascii="Times New Roman" w:hAnsi="Times New Roman" w:cs="Times New Roman"/>
              </w:rPr>
              <w:t xml:space="preserve"> </w:t>
            </w:r>
            <w:r w:rsidRPr="000212FA">
              <w:rPr>
                <w:rFonts w:ascii="Times New Roman" w:hAnsi="Times New Roman" w:cs="Times New Roman"/>
              </w:rPr>
              <w:t xml:space="preserve">niezbędne z uwagi na utratę mocy obowiązującej przepisu § 31 rozporządzenia Ministra Pracy i Polityki Społecznej z dnia 11 października 2011 r. w sprawie postępowania o świadczenia emerytalno- rentowe, regulującego sposób obliczania okresów składkowych i nieskładkowych. Trybunał Konstytucyjny w wyroku z dnia 13 grudnia 2023 r., sygn. akt SK 109/20, orzekł, że przepis ten jest niezgodny z art. 67 ust. 1 zdanie drugie Konstytucji, odraczając jednocześnie utratę jego mocy obowiązującej </w:t>
            </w:r>
            <w:r w:rsidRPr="000212FA">
              <w:rPr>
                <w:rFonts w:ascii="Times New Roman" w:hAnsi="Times New Roman" w:cs="Times New Roman"/>
              </w:rPr>
              <w:lastRenderedPageBreak/>
              <w:t xml:space="preserve">o 12 miesięcy od dnia ogłoszenia wyroku w Dzienniku Ustaw Rzeczypospolitej Polskiej (wyrok został ogłoszony w Dz. U. z dnia 28 grudnia 2023 r. poz. 280). </w:t>
            </w:r>
          </w:p>
          <w:p w14:paraId="21421C6D" w14:textId="28EE42F9" w:rsidR="007F3EB2" w:rsidRPr="000212FA" w:rsidRDefault="00DD34F1" w:rsidP="003318FC">
            <w:pPr>
              <w:spacing w:after="0" w:line="240" w:lineRule="auto"/>
              <w:jc w:val="both"/>
              <w:rPr>
                <w:rFonts w:ascii="Times New Roman" w:hAnsi="Times New Roman" w:cs="Times New Roman"/>
              </w:rPr>
            </w:pPr>
            <w:r w:rsidRPr="000212FA">
              <w:rPr>
                <w:rFonts w:ascii="Times New Roman" w:hAnsi="Times New Roman" w:cs="Times New Roman"/>
              </w:rPr>
              <w:t xml:space="preserve">W ocenie Trybunału, niezgodność z Konstytucją § 31 rozporządzenia </w:t>
            </w:r>
            <w:proofErr w:type="spellStart"/>
            <w:r w:rsidRPr="000212FA">
              <w:rPr>
                <w:rFonts w:ascii="Times New Roman" w:hAnsi="Times New Roman" w:cs="Times New Roman"/>
              </w:rPr>
              <w:t>MPiPS</w:t>
            </w:r>
            <w:proofErr w:type="spellEnd"/>
            <w:r w:rsidRPr="000212FA">
              <w:rPr>
                <w:rFonts w:ascii="Times New Roman" w:hAnsi="Times New Roman" w:cs="Times New Roman"/>
              </w:rPr>
              <w:t xml:space="preserve"> z 2011 r.  polega na tym, że prawodawca sposób obliczania okresów uwzględnianych przy ustalaniu świadczeń emerytalno-rentowych (a więc elementów konstrukcyjnych, od spełnienia których zależy przyznanie świadczenia określonego w ustawie) uregulował nie – jak powinien był – w ustawie, a w akcie rangi </w:t>
            </w:r>
            <w:proofErr w:type="spellStart"/>
            <w:r w:rsidRPr="000212FA">
              <w:rPr>
                <w:rFonts w:ascii="Times New Roman" w:hAnsi="Times New Roman" w:cs="Times New Roman"/>
              </w:rPr>
              <w:t>podustawowej</w:t>
            </w:r>
            <w:proofErr w:type="spellEnd"/>
            <w:r w:rsidRPr="000212FA">
              <w:rPr>
                <w:rFonts w:ascii="Times New Roman" w:hAnsi="Times New Roman" w:cs="Times New Roman"/>
              </w:rPr>
              <w:t>.</w:t>
            </w:r>
          </w:p>
          <w:p w14:paraId="4F16F5EB" w14:textId="3BE9CFAF" w:rsidR="00DF693C" w:rsidRPr="000212FA" w:rsidRDefault="00DD34F1" w:rsidP="003318FC">
            <w:pPr>
              <w:spacing w:after="0" w:line="240" w:lineRule="auto"/>
              <w:jc w:val="both"/>
              <w:rPr>
                <w:rFonts w:ascii="Times New Roman" w:hAnsi="Times New Roman" w:cs="Times New Roman"/>
              </w:rPr>
            </w:pPr>
            <w:r w:rsidRPr="000212FA">
              <w:rPr>
                <w:rFonts w:ascii="Times New Roman" w:hAnsi="Times New Roman" w:cs="Times New Roman"/>
              </w:rPr>
              <w:t xml:space="preserve">Art. 12 projektu ustawy stanowi zatem wykonanie ww. wyroku Trybunału Konstytucyjnego i polega na przeniesieniu regulacji § 31 ww. rozporządzenia </w:t>
            </w:r>
            <w:proofErr w:type="spellStart"/>
            <w:r w:rsidRPr="000212FA">
              <w:rPr>
                <w:rFonts w:ascii="Times New Roman" w:hAnsi="Times New Roman" w:cs="Times New Roman"/>
              </w:rPr>
              <w:t>MPiPS</w:t>
            </w:r>
            <w:proofErr w:type="spellEnd"/>
            <w:r w:rsidRPr="000212FA">
              <w:rPr>
                <w:rFonts w:ascii="Times New Roman" w:hAnsi="Times New Roman" w:cs="Times New Roman"/>
              </w:rPr>
              <w:t xml:space="preserve"> z 2011 r. do Działu I. Rozdziału 2. Okresy uwzględniane przy ustalaniu prawa do świadczeń i ich wysokości ustawy o emeryturach i rentach z FUS (ze zmianą o charakterze redakcyjno-legislacyjnym).</w:t>
            </w:r>
          </w:p>
          <w:p w14:paraId="2E04D40B" w14:textId="070111DD" w:rsidR="00DD34F1" w:rsidRPr="000212FA" w:rsidRDefault="00DD34F1" w:rsidP="003318FC">
            <w:pPr>
              <w:spacing w:after="0" w:line="240" w:lineRule="auto"/>
              <w:jc w:val="both"/>
              <w:rPr>
                <w:rFonts w:ascii="Times New Roman" w:hAnsi="Times New Roman" w:cs="Times New Roman"/>
              </w:rPr>
            </w:pPr>
          </w:p>
        </w:tc>
      </w:tr>
      <w:tr w:rsidR="00F0743A" w:rsidRPr="000212FA" w14:paraId="79603768" w14:textId="77777777" w:rsidTr="003318FC">
        <w:tc>
          <w:tcPr>
            <w:tcW w:w="567" w:type="dxa"/>
          </w:tcPr>
          <w:p w14:paraId="56FE08CE" w14:textId="77777777" w:rsidR="00F0743A" w:rsidRPr="000212FA" w:rsidRDefault="00F0743A" w:rsidP="003318FC">
            <w:pPr>
              <w:pStyle w:val="Akapitzlist"/>
              <w:numPr>
                <w:ilvl w:val="0"/>
                <w:numId w:val="1"/>
              </w:numPr>
              <w:spacing w:after="0" w:line="240" w:lineRule="auto"/>
              <w:ind w:left="0" w:firstLine="0"/>
              <w:jc w:val="both"/>
              <w:rPr>
                <w:rFonts w:ascii="Times New Roman" w:hAnsi="Times New Roman" w:cs="Times New Roman"/>
                <w:b/>
              </w:rPr>
            </w:pPr>
          </w:p>
        </w:tc>
        <w:tc>
          <w:tcPr>
            <w:tcW w:w="1418" w:type="dxa"/>
            <w:vAlign w:val="center"/>
          </w:tcPr>
          <w:p w14:paraId="6AA4B8E0" w14:textId="09A4951C" w:rsidR="00F0743A" w:rsidRPr="000212FA" w:rsidRDefault="00F0743A" w:rsidP="003318FC">
            <w:pPr>
              <w:spacing w:after="0" w:line="240" w:lineRule="auto"/>
              <w:jc w:val="both"/>
              <w:rPr>
                <w:rFonts w:ascii="Times New Roman" w:hAnsi="Times New Roman" w:cs="Times New Roman"/>
              </w:rPr>
            </w:pPr>
            <w:r w:rsidRPr="000212FA">
              <w:rPr>
                <w:rFonts w:ascii="Times New Roman" w:hAnsi="Times New Roman" w:cs="Times New Roman"/>
              </w:rPr>
              <w:t>Art. 13 pkt 1 projektu – w zakresie art. 17 ust. 1a</w:t>
            </w:r>
            <w:r w:rsidR="006A0D00" w:rsidRPr="000212FA">
              <w:rPr>
                <w:rFonts w:ascii="Times New Roman" w:hAnsi="Times New Roman" w:cs="Times New Roman"/>
              </w:rPr>
              <w:t xml:space="preserve"> ustawy zasiłkowej</w:t>
            </w:r>
          </w:p>
        </w:tc>
        <w:tc>
          <w:tcPr>
            <w:tcW w:w="1559" w:type="dxa"/>
            <w:vAlign w:val="center"/>
          </w:tcPr>
          <w:p w14:paraId="4C5554BF" w14:textId="76C07BFD" w:rsidR="00F0743A" w:rsidRPr="000212FA" w:rsidRDefault="00F0743A" w:rsidP="003318FC">
            <w:pPr>
              <w:spacing w:after="0" w:line="240" w:lineRule="auto"/>
              <w:jc w:val="both"/>
              <w:rPr>
                <w:rFonts w:ascii="Times New Roman" w:hAnsi="Times New Roman" w:cs="Times New Roman"/>
              </w:rPr>
            </w:pPr>
            <w:r w:rsidRPr="000212FA">
              <w:rPr>
                <w:rFonts w:ascii="Times New Roman" w:hAnsi="Times New Roman" w:cs="Times New Roman"/>
              </w:rPr>
              <w:t>MF</w:t>
            </w:r>
          </w:p>
        </w:tc>
        <w:tc>
          <w:tcPr>
            <w:tcW w:w="4536" w:type="dxa"/>
          </w:tcPr>
          <w:p w14:paraId="00A10865" w14:textId="2C8DC24D" w:rsidR="00F0743A" w:rsidRPr="000212FA" w:rsidRDefault="006A0D00" w:rsidP="003318FC">
            <w:pPr>
              <w:autoSpaceDE w:val="0"/>
              <w:autoSpaceDN w:val="0"/>
              <w:adjustRightInd w:val="0"/>
              <w:spacing w:after="0" w:line="240" w:lineRule="auto"/>
              <w:jc w:val="both"/>
              <w:rPr>
                <w:rFonts w:ascii="Times New Roman" w:hAnsi="Times New Roman" w:cs="Times New Roman"/>
              </w:rPr>
            </w:pPr>
            <w:r w:rsidRPr="000212FA">
              <w:rPr>
                <w:rFonts w:ascii="Times New Roman" w:hAnsi="Times New Roman" w:cs="Times New Roman"/>
              </w:rPr>
              <w:t xml:space="preserve">Przedłożony projekt ustawy definiuje pojęcie „pracy zarobkowej”, której wykonywanie w okresie orzeczonej niezdolności do pracy pozbawia świadczeniobiorcę prawa do zasiłku. Zgodnie z zaproponowanym brzmieniem art. 17 ust. 1a ustawy o świadczeniach pieniężnych z ubezpieczenia społecznego w razie choroby i macierzyństwa (Dz.U. z 2023 r. poz. 2780 ze zm.) pracą zarobkową jest każda czynność mająca charakter zarobkowy, niezależnie od stosunku prawnego będącego podstawą jej wykonania. </w:t>
            </w:r>
            <w:r w:rsidRPr="000212FA">
              <w:rPr>
                <w:rFonts w:ascii="Times New Roman" w:hAnsi="Times New Roman" w:cs="Times New Roman"/>
              </w:rPr>
              <w:lastRenderedPageBreak/>
              <w:t xml:space="preserve">Zapis ten jest zgodny z wykładnią od dawna stosowaną przez Zakład Ubezpieczeń Społecznych. Jednocześnie do ustawy wprowadzono zastrzeżenie, że „pracy zarobkowej” nie stanowią czynności incydentalne, których podjęcia w okresie zwolnienia od pracy wymagają istotne okoliczności. Przedmiotowy zapis realizuje utrwaloną wykładnię Sądu Najwyższego. Zwracam uwagę, że przy zachowaniu projektowanego brzmienia przepisu, rozstrzygnięcie (np. w decyzji ZUS) o prawidłowości wykorzystywania zwolnienia lekarskiego będzie utrudnione, szczególnie w przypadku osób prowadzących działalność pozarolniczą. Osoba podejmująca określone czynności zawsze może podnieść, że wykonywała je tylko sporadycznie, incydentalnie i w stanie wymuszonym okolicznościami. W tej sytuacji wydaje się konieczne sformułowanie ramowych kryteriów, które pozwolą na rozróżnienie czynności „incydentalnych” (które nie pozbawią świadczeniobiorcy prawa do zasiłku) od rzeczywistej „pracy zarobkowej” (której wykonywanie w czasie zwolnienia lekarskiego skutkuje odebraniem prawa do zasiłku). Kryteria takie będą również ograniczały ryzyko nadużywania zwolnień lekarskich, które przy obecnym brzmieniu przepisu oceniam na bardzo wysokie, szczególnie wśród osób prowadzących działalność pozarolniczą. Należy zwrócić uwagę, że w tej grupie ubezpieczonych „korzyści” finansowe ze zwolnienia lekarskiego są podwójne – osoba prowadząca działalność otrzymuje zasiłek chorobowy, a ponadto, w </w:t>
            </w:r>
            <w:r w:rsidRPr="000212FA">
              <w:rPr>
                <w:rFonts w:ascii="Times New Roman" w:hAnsi="Times New Roman" w:cs="Times New Roman"/>
              </w:rPr>
              <w:lastRenderedPageBreak/>
              <w:t>okresie jego pobierania, jest zwolniona z opłacania składek na własne ubezpieczenia społeczne.</w:t>
            </w:r>
          </w:p>
        </w:tc>
        <w:tc>
          <w:tcPr>
            <w:tcW w:w="3402" w:type="dxa"/>
            <w:vAlign w:val="center"/>
          </w:tcPr>
          <w:p w14:paraId="3CCBB879" w14:textId="77777777" w:rsidR="00F0743A" w:rsidRPr="000212FA" w:rsidRDefault="00F0743A" w:rsidP="003318FC">
            <w:pPr>
              <w:spacing w:after="0" w:line="240" w:lineRule="auto"/>
              <w:jc w:val="both"/>
              <w:rPr>
                <w:rFonts w:ascii="Times New Roman" w:hAnsi="Times New Roman" w:cs="Times New Roman"/>
              </w:rPr>
            </w:pPr>
          </w:p>
        </w:tc>
        <w:tc>
          <w:tcPr>
            <w:tcW w:w="4253" w:type="dxa"/>
          </w:tcPr>
          <w:p w14:paraId="13A2F5A1" w14:textId="49AB6FAF" w:rsidR="009714B1" w:rsidRPr="000212FA" w:rsidRDefault="009714B1" w:rsidP="003318FC">
            <w:pPr>
              <w:spacing w:after="0" w:line="240" w:lineRule="auto"/>
              <w:jc w:val="both"/>
              <w:rPr>
                <w:rFonts w:ascii="Times New Roman" w:hAnsi="Times New Roman" w:cs="Times New Roman"/>
                <w:b/>
                <w:bCs/>
              </w:rPr>
            </w:pPr>
            <w:r w:rsidRPr="000212FA">
              <w:rPr>
                <w:rFonts w:ascii="Times New Roman" w:hAnsi="Times New Roman" w:cs="Times New Roman"/>
                <w:b/>
                <w:bCs/>
              </w:rPr>
              <w:t xml:space="preserve">Uwaga </w:t>
            </w:r>
            <w:r w:rsidR="00E85C0A" w:rsidRPr="000212FA">
              <w:rPr>
                <w:rFonts w:ascii="Times New Roman" w:hAnsi="Times New Roman" w:cs="Times New Roman"/>
                <w:b/>
                <w:bCs/>
              </w:rPr>
              <w:t>wyjaśniona</w:t>
            </w:r>
            <w:r w:rsidRPr="000212FA">
              <w:rPr>
                <w:rFonts w:ascii="Times New Roman" w:hAnsi="Times New Roman" w:cs="Times New Roman"/>
                <w:b/>
                <w:bCs/>
              </w:rPr>
              <w:t xml:space="preserve">. </w:t>
            </w:r>
          </w:p>
          <w:p w14:paraId="7652BB65" w14:textId="77777777" w:rsidR="009714B1" w:rsidRPr="000212FA" w:rsidRDefault="009714B1" w:rsidP="003318FC">
            <w:pPr>
              <w:spacing w:after="0" w:line="240" w:lineRule="auto"/>
              <w:jc w:val="both"/>
              <w:rPr>
                <w:rFonts w:ascii="Times New Roman" w:hAnsi="Times New Roman" w:cs="Times New Roman"/>
              </w:rPr>
            </w:pPr>
          </w:p>
          <w:p w14:paraId="7DC8D40E" w14:textId="411F34F1" w:rsidR="0083560D" w:rsidRPr="000212FA" w:rsidRDefault="008434F3" w:rsidP="003318FC">
            <w:pPr>
              <w:spacing w:after="0" w:line="240" w:lineRule="auto"/>
              <w:jc w:val="both"/>
              <w:rPr>
                <w:rFonts w:ascii="Times New Roman" w:hAnsi="Times New Roman" w:cs="Times New Roman"/>
              </w:rPr>
            </w:pPr>
            <w:r w:rsidRPr="000212FA">
              <w:rPr>
                <w:rFonts w:ascii="Times New Roman" w:hAnsi="Times New Roman" w:cs="Times New Roman"/>
              </w:rPr>
              <w:t>Różnorodność</w:t>
            </w:r>
            <w:r w:rsidR="009714B1" w:rsidRPr="000212FA">
              <w:rPr>
                <w:rFonts w:ascii="Times New Roman" w:hAnsi="Times New Roman" w:cs="Times New Roman"/>
              </w:rPr>
              <w:t xml:space="preserve"> </w:t>
            </w:r>
            <w:r w:rsidR="00667933" w:rsidRPr="000212FA">
              <w:rPr>
                <w:rFonts w:ascii="Times New Roman" w:hAnsi="Times New Roman" w:cs="Times New Roman"/>
              </w:rPr>
              <w:t xml:space="preserve">form i czynności </w:t>
            </w:r>
            <w:r w:rsidR="009714B1" w:rsidRPr="000212FA">
              <w:rPr>
                <w:rFonts w:ascii="Times New Roman" w:hAnsi="Times New Roman" w:cs="Times New Roman"/>
              </w:rPr>
              <w:t xml:space="preserve">życia zawodowego uniemożliwia określenie  ramowych kryteriów, które pozwoliłyby na rozróżnienie czynności „incydentalnych” od rzeczywistej „pracy zarobkowej”. Ocena czy dana aktywność świadczeniobiorcy stanowi podstawę do pozbawienia prawa do zasiłku powinna </w:t>
            </w:r>
            <w:r w:rsidR="00667933" w:rsidRPr="000212FA">
              <w:rPr>
                <w:rFonts w:ascii="Times New Roman" w:hAnsi="Times New Roman" w:cs="Times New Roman"/>
              </w:rPr>
              <w:t xml:space="preserve">zatem każdorazowo </w:t>
            </w:r>
            <w:r w:rsidR="009714B1" w:rsidRPr="000212FA">
              <w:rPr>
                <w:rFonts w:ascii="Times New Roman" w:hAnsi="Times New Roman" w:cs="Times New Roman"/>
              </w:rPr>
              <w:t xml:space="preserve">odbywać się </w:t>
            </w:r>
            <w:r w:rsidR="00667933" w:rsidRPr="000212FA">
              <w:rPr>
                <w:rFonts w:ascii="Times New Roman" w:hAnsi="Times New Roman" w:cs="Times New Roman"/>
              </w:rPr>
              <w:t xml:space="preserve">przy uwzględnieniu </w:t>
            </w:r>
            <w:r w:rsidR="009714B1" w:rsidRPr="000212FA">
              <w:rPr>
                <w:rFonts w:ascii="Times New Roman" w:hAnsi="Times New Roman" w:cs="Times New Roman"/>
              </w:rPr>
              <w:t xml:space="preserve">indywidualnego </w:t>
            </w:r>
            <w:r w:rsidR="00667933" w:rsidRPr="000212FA">
              <w:rPr>
                <w:rFonts w:ascii="Times New Roman" w:hAnsi="Times New Roman" w:cs="Times New Roman"/>
              </w:rPr>
              <w:lastRenderedPageBreak/>
              <w:t xml:space="preserve">charakteru konkretnej </w:t>
            </w:r>
            <w:r w:rsidR="009714B1" w:rsidRPr="000212FA">
              <w:rPr>
                <w:rFonts w:ascii="Times New Roman" w:hAnsi="Times New Roman" w:cs="Times New Roman"/>
              </w:rPr>
              <w:t>sprawy.</w:t>
            </w:r>
            <w:r w:rsidR="00667933" w:rsidRPr="000212FA">
              <w:rPr>
                <w:rFonts w:ascii="Times New Roman" w:hAnsi="Times New Roman" w:cs="Times New Roman"/>
              </w:rPr>
              <w:t xml:space="preserve"> Stworzenie jednoznacznego katalogu takich czynności nie udało się nawet sądom powszechnym, które – w zależności od okoliczności sprawy – różnie kwalifikowały te same rodzajowo czynności jako „czynności incydentalne” bądź jako „pracę zarobkową”. </w:t>
            </w:r>
          </w:p>
          <w:p w14:paraId="71035E71" w14:textId="2AE2C3DF" w:rsidR="009714B1" w:rsidRPr="000212FA" w:rsidRDefault="00667933" w:rsidP="003318FC">
            <w:pPr>
              <w:spacing w:after="0" w:line="240" w:lineRule="auto"/>
              <w:jc w:val="both"/>
              <w:rPr>
                <w:rFonts w:ascii="Times New Roman" w:hAnsi="Times New Roman" w:cs="Times New Roman"/>
              </w:rPr>
            </w:pPr>
            <w:r w:rsidRPr="000212FA">
              <w:rPr>
                <w:rFonts w:ascii="Times New Roman" w:hAnsi="Times New Roman" w:cs="Times New Roman"/>
              </w:rPr>
              <w:t xml:space="preserve">Ministerstwo jest jednak otwarte na przedyskutowanie konkretnych propozycji, jeśli takowe ze strony Ministerstwa Finansów się pojawią.  </w:t>
            </w:r>
          </w:p>
          <w:p w14:paraId="6E70D31F" w14:textId="0340A0EE" w:rsidR="00E325C6" w:rsidRPr="000212FA" w:rsidRDefault="0083560D" w:rsidP="003318FC">
            <w:pPr>
              <w:spacing w:after="0" w:line="240" w:lineRule="auto"/>
              <w:jc w:val="both"/>
              <w:rPr>
                <w:rFonts w:ascii="Times New Roman" w:hAnsi="Times New Roman" w:cs="Times New Roman"/>
              </w:rPr>
            </w:pPr>
            <w:r w:rsidRPr="000212FA">
              <w:rPr>
                <w:rFonts w:ascii="Times New Roman" w:hAnsi="Times New Roman" w:cs="Times New Roman"/>
              </w:rPr>
              <w:t xml:space="preserve">Należy mieć jednakże świadomość, że nadmierna kazuistyka w tworzeniu prawa nie jest pożądana, zmniejsza ona bowiem elastyczność projektowanych rozwiązań, a tym samym może utrudnić lub uniemożliwić osiągnięcie założonego przez ustawodawcę celu ustawy. </w:t>
            </w:r>
          </w:p>
        </w:tc>
      </w:tr>
      <w:tr w:rsidR="00F0743A" w:rsidRPr="000212FA" w14:paraId="2E949B67" w14:textId="77777777" w:rsidTr="003318FC">
        <w:tc>
          <w:tcPr>
            <w:tcW w:w="567" w:type="dxa"/>
          </w:tcPr>
          <w:p w14:paraId="6B392E4C" w14:textId="77777777" w:rsidR="00F0743A" w:rsidRPr="000212FA" w:rsidRDefault="00F0743A" w:rsidP="003318FC">
            <w:pPr>
              <w:pStyle w:val="Akapitzlist"/>
              <w:numPr>
                <w:ilvl w:val="0"/>
                <w:numId w:val="1"/>
              </w:numPr>
              <w:spacing w:after="0" w:line="240" w:lineRule="auto"/>
              <w:ind w:left="0" w:firstLine="0"/>
              <w:jc w:val="both"/>
              <w:rPr>
                <w:rFonts w:ascii="Times New Roman" w:hAnsi="Times New Roman" w:cs="Times New Roman"/>
                <w:b/>
              </w:rPr>
            </w:pPr>
          </w:p>
        </w:tc>
        <w:tc>
          <w:tcPr>
            <w:tcW w:w="1418" w:type="dxa"/>
            <w:vAlign w:val="center"/>
          </w:tcPr>
          <w:p w14:paraId="0BB1FE9E" w14:textId="34D800E0" w:rsidR="00F0743A" w:rsidRPr="000212FA" w:rsidRDefault="00F0743A" w:rsidP="003318FC">
            <w:pPr>
              <w:spacing w:after="0" w:line="240" w:lineRule="auto"/>
              <w:jc w:val="both"/>
              <w:rPr>
                <w:rFonts w:ascii="Times New Roman" w:hAnsi="Times New Roman" w:cs="Times New Roman"/>
              </w:rPr>
            </w:pPr>
            <w:r w:rsidRPr="000212FA">
              <w:rPr>
                <w:rFonts w:ascii="Times New Roman" w:hAnsi="Times New Roman" w:cs="Times New Roman"/>
              </w:rPr>
              <w:t>Art. 13 pkt 1</w:t>
            </w:r>
            <w:r w:rsidR="00FF6E9D" w:rsidRPr="000212FA">
              <w:rPr>
                <w:rFonts w:ascii="Times New Roman" w:hAnsi="Times New Roman" w:cs="Times New Roman"/>
              </w:rPr>
              <w:t xml:space="preserve"> lit. b</w:t>
            </w:r>
            <w:r w:rsidRPr="000212FA">
              <w:rPr>
                <w:rFonts w:ascii="Times New Roman" w:hAnsi="Times New Roman" w:cs="Times New Roman"/>
              </w:rPr>
              <w:t xml:space="preserve"> projektu w zakresie art. 17 ust. 1c</w:t>
            </w:r>
            <w:r w:rsidR="00FF6E9D" w:rsidRPr="000212FA">
              <w:rPr>
                <w:rFonts w:ascii="Times New Roman" w:hAnsi="Times New Roman" w:cs="Times New Roman"/>
              </w:rPr>
              <w:t xml:space="preserve"> ustawy zasiłkowej</w:t>
            </w:r>
          </w:p>
        </w:tc>
        <w:tc>
          <w:tcPr>
            <w:tcW w:w="1559" w:type="dxa"/>
            <w:vAlign w:val="center"/>
          </w:tcPr>
          <w:p w14:paraId="4681A12E" w14:textId="7FC18FD8" w:rsidR="00F0743A" w:rsidRPr="000212FA" w:rsidRDefault="00F0743A" w:rsidP="003318FC">
            <w:pPr>
              <w:spacing w:after="0" w:line="240" w:lineRule="auto"/>
              <w:jc w:val="both"/>
              <w:rPr>
                <w:rFonts w:ascii="Times New Roman" w:hAnsi="Times New Roman" w:cs="Times New Roman"/>
              </w:rPr>
            </w:pPr>
            <w:r w:rsidRPr="000212FA">
              <w:rPr>
                <w:rFonts w:ascii="Times New Roman" w:hAnsi="Times New Roman" w:cs="Times New Roman"/>
              </w:rPr>
              <w:t>MF</w:t>
            </w:r>
          </w:p>
        </w:tc>
        <w:tc>
          <w:tcPr>
            <w:tcW w:w="4536" w:type="dxa"/>
          </w:tcPr>
          <w:p w14:paraId="76113ADF" w14:textId="5A69FFD3" w:rsidR="00F0743A" w:rsidRPr="000212FA" w:rsidRDefault="00FF6E9D" w:rsidP="003318FC">
            <w:pPr>
              <w:autoSpaceDE w:val="0"/>
              <w:autoSpaceDN w:val="0"/>
              <w:adjustRightInd w:val="0"/>
              <w:spacing w:after="0" w:line="240" w:lineRule="auto"/>
              <w:jc w:val="both"/>
              <w:rPr>
                <w:rFonts w:ascii="Times New Roman" w:hAnsi="Times New Roman" w:cs="Times New Roman"/>
              </w:rPr>
            </w:pPr>
            <w:r w:rsidRPr="000212FA">
              <w:rPr>
                <w:rFonts w:ascii="Times New Roman" w:hAnsi="Times New Roman" w:cs="Times New Roman"/>
              </w:rPr>
              <w:t>Projektowany art. 17 ust. 1c ustawy o świadczeniach pieniężnych z ubezpieczenia społecznego w razie choroby i macierzyństwa stanowi, że miejscem pobytu osoby korzystającej ze zwolnienia, wskazanym w zwolnieniu lub zawiadomieniu, może być adres pobytu w innym państwie. Jeżeli jest to państwo w którym istnieje możliwość przeprowadzenia kontroli na zlecenie ZUS (chodzi głównie o państwa członkowskie UE), ubezpieczony nie musi spełniać żadnych dodatkowych warunków pobytu zagranicznego. Zwracamy uwagę, że przepis ten stanowi systemową zachętę do nadużyć i wykorzystywania zwolnień lekarskich, w celu turystycznych lub wypoczynkowych wyjazdów zagranicznych. Możliwość kontroli krótkoterminowych zwolnień lekarskich (np. 1-tygodniowych), spędzanych za granicą, jest w zasadzie iluzoryczna. Rekomenduję wycofanie się z tej regulacji, ewentualnie - ograniczenie jej do okoliczności ściśle określonych i możliwych do zweryfikowania (np. podjęcie leczenia możliwego tylko za granicą, szczególne wymogi dotyczące leczenia lub rehabilitacji określonego schorzenia, szczególnie uzasadnione względy życiowe). W takim przypadku konieczne byłoby wprowadzenie mechanizmu systemowego powiadamiania ZUS o wystawieniu zwolnienia lekarskiego, które świadczeniobiorca będzie spędzał poza granicami Polski – w celu szybkiej weryfikacji czy jest to w danych okolicznościach uzasadnione.</w:t>
            </w:r>
          </w:p>
        </w:tc>
        <w:tc>
          <w:tcPr>
            <w:tcW w:w="3402" w:type="dxa"/>
            <w:vAlign w:val="center"/>
          </w:tcPr>
          <w:p w14:paraId="0E0C8310" w14:textId="77777777" w:rsidR="00F0743A" w:rsidRPr="000212FA" w:rsidRDefault="00F0743A" w:rsidP="003318FC">
            <w:pPr>
              <w:spacing w:after="0" w:line="240" w:lineRule="auto"/>
              <w:jc w:val="both"/>
              <w:rPr>
                <w:rFonts w:ascii="Times New Roman" w:hAnsi="Times New Roman" w:cs="Times New Roman"/>
              </w:rPr>
            </w:pPr>
          </w:p>
        </w:tc>
        <w:tc>
          <w:tcPr>
            <w:tcW w:w="4253" w:type="dxa"/>
          </w:tcPr>
          <w:p w14:paraId="0F18A905" w14:textId="67FC3678" w:rsidR="00F0743A" w:rsidRPr="000212FA" w:rsidRDefault="009840E8" w:rsidP="003318FC">
            <w:pPr>
              <w:spacing w:after="0" w:line="240" w:lineRule="auto"/>
              <w:jc w:val="both"/>
              <w:rPr>
                <w:rFonts w:ascii="Times New Roman" w:hAnsi="Times New Roman" w:cs="Times New Roman"/>
                <w:b/>
                <w:bCs/>
              </w:rPr>
            </w:pPr>
            <w:r w:rsidRPr="000212FA">
              <w:rPr>
                <w:rFonts w:ascii="Times New Roman" w:hAnsi="Times New Roman" w:cs="Times New Roman"/>
                <w:b/>
                <w:bCs/>
              </w:rPr>
              <w:t>Uwaga nieuwzględniona.</w:t>
            </w:r>
          </w:p>
          <w:p w14:paraId="2D31E3B8" w14:textId="77777777" w:rsidR="00E325C6" w:rsidRPr="000212FA" w:rsidRDefault="00E325C6" w:rsidP="003318FC">
            <w:pPr>
              <w:spacing w:after="0" w:line="240" w:lineRule="auto"/>
              <w:jc w:val="both"/>
              <w:rPr>
                <w:rFonts w:ascii="Times New Roman" w:hAnsi="Times New Roman" w:cs="Times New Roman"/>
              </w:rPr>
            </w:pPr>
          </w:p>
          <w:p w14:paraId="380E22DD" w14:textId="77777777" w:rsidR="005B4A9A" w:rsidRPr="000212FA" w:rsidRDefault="005B4A9A" w:rsidP="003318FC">
            <w:pPr>
              <w:spacing w:after="0" w:line="240" w:lineRule="auto"/>
              <w:jc w:val="both"/>
              <w:rPr>
                <w:rFonts w:ascii="Times New Roman" w:hAnsi="Times New Roman" w:cs="Times New Roman"/>
              </w:rPr>
            </w:pPr>
            <w:r w:rsidRPr="000212FA">
              <w:rPr>
                <w:rFonts w:ascii="Times New Roman" w:hAnsi="Times New Roman" w:cs="Times New Roman"/>
              </w:rPr>
              <w:t>Należy wskazać, że aktualnie obowiązujące regulacje prawne oraz techniczne możliwości oprogramowania elektronicznych zwolnień lekarskich (e-ZLA), w żaden sposób nie ograniczają możliwości podania w zwolnieniu lekarskim adresu zagranicznego jako adresu miejsca pobytu osoby korzystającej z tego zwolnienia. Jednocześnie za pośrednictwem przedmiotowego narzędzia ZUS natychmiast dysponuje wiedzą o tych zwolnieniach.</w:t>
            </w:r>
          </w:p>
          <w:p w14:paraId="1DF2855C" w14:textId="77777777" w:rsidR="005B4A9A" w:rsidRPr="000212FA" w:rsidRDefault="005B4A9A" w:rsidP="003318FC">
            <w:pPr>
              <w:spacing w:after="0" w:line="240" w:lineRule="auto"/>
              <w:jc w:val="both"/>
              <w:rPr>
                <w:rFonts w:ascii="Times New Roman" w:hAnsi="Times New Roman" w:cs="Times New Roman"/>
              </w:rPr>
            </w:pPr>
            <w:r w:rsidRPr="000212FA">
              <w:rPr>
                <w:rFonts w:ascii="Times New Roman" w:hAnsi="Times New Roman" w:cs="Times New Roman"/>
              </w:rPr>
              <w:t xml:space="preserve">W świetle powyższego, projektowana treść art. 17 ust. 1c ustawy zasiłkowej stanowi odpowiedź na całkowitą dowolność w tym zakresie. Celem proponowanej regulacji jest określenie akceptowalnych przez ustawodawcę ram prawnych tego uprawnienia, przy czym dopuszczalne granice władczej ingerencji w tym przypadku są wyznaczane przez art. 52 oraz art. 67 Konstytucji RP. Zagwarantowana konstytucyjnie wolność przemieszczania się nie może być bowiem ograniczana przez ryzyko utraty innego konstytucyjnego uprawnienia, tj. prawa do zabezpieczenia społecznego. Każdy obywatel ma prawo do korzystania z obu tych wolności i ustawodawca powinien tworzyć warunki do ich jak najpełniejszej realizacji zwłaszcza w sytuacji, gdy z uwagi na różne </w:t>
            </w:r>
            <w:r w:rsidRPr="000212FA">
              <w:rPr>
                <w:rFonts w:ascii="Times New Roman" w:hAnsi="Times New Roman" w:cs="Times New Roman"/>
              </w:rPr>
              <w:lastRenderedPageBreak/>
              <w:t xml:space="preserve">uwarunkowania mogą one być traktowane jako prawa względem siebie konkurencyjne. </w:t>
            </w:r>
          </w:p>
          <w:p w14:paraId="2EFC8945" w14:textId="77777777" w:rsidR="005B4A9A" w:rsidRPr="000212FA" w:rsidRDefault="005B4A9A" w:rsidP="003318FC">
            <w:pPr>
              <w:spacing w:after="0" w:line="240" w:lineRule="auto"/>
              <w:jc w:val="both"/>
              <w:rPr>
                <w:rFonts w:ascii="Times New Roman" w:hAnsi="Times New Roman" w:cs="Times New Roman"/>
              </w:rPr>
            </w:pPr>
            <w:r w:rsidRPr="000212FA">
              <w:rPr>
                <w:rFonts w:ascii="Times New Roman" w:hAnsi="Times New Roman" w:cs="Times New Roman"/>
              </w:rPr>
              <w:t xml:space="preserve">Proponowane przez </w:t>
            </w:r>
            <w:proofErr w:type="spellStart"/>
            <w:r w:rsidRPr="000212FA">
              <w:rPr>
                <w:rFonts w:ascii="Times New Roman" w:hAnsi="Times New Roman" w:cs="Times New Roman"/>
              </w:rPr>
              <w:t>MRPiPS</w:t>
            </w:r>
            <w:proofErr w:type="spellEnd"/>
            <w:r w:rsidRPr="000212FA">
              <w:rPr>
                <w:rFonts w:ascii="Times New Roman" w:hAnsi="Times New Roman" w:cs="Times New Roman"/>
              </w:rPr>
              <w:t xml:space="preserve"> rozwiązanie jest zatem formą kompromisu pomiędzy potrzebą zagwarantowania obywatelom konstytucyjnych praw i wolności a koniecznością władczej w nie ingerencji. W związku z tym, że żaden przepis prawa powszechnie obowiązującego nie wyłącza obecnie możliwości podania jako adresu pobytu adresu zagranicznego, a w konsekwencji – mimo zastrzeżeń – jest to dopuszczalne, proponowana zmiana uwzględnia – w konstytucyjnych ramach – kierunek postulowany przez Ministerstwo Finansów. </w:t>
            </w:r>
          </w:p>
          <w:p w14:paraId="110CAEA5" w14:textId="6BE44818" w:rsidR="000C6A8E" w:rsidRPr="000212FA" w:rsidRDefault="005B4A9A" w:rsidP="003318FC">
            <w:pPr>
              <w:spacing w:after="0" w:line="240" w:lineRule="auto"/>
              <w:jc w:val="both"/>
              <w:rPr>
                <w:rFonts w:ascii="Times New Roman" w:hAnsi="Times New Roman" w:cs="Times New Roman"/>
              </w:rPr>
            </w:pPr>
            <w:r w:rsidRPr="000212FA">
              <w:rPr>
                <w:rFonts w:ascii="Times New Roman" w:hAnsi="Times New Roman" w:cs="Times New Roman"/>
              </w:rPr>
              <w:t xml:space="preserve">W związku z powyższym </w:t>
            </w:r>
            <w:proofErr w:type="spellStart"/>
            <w:r w:rsidRPr="000212FA">
              <w:rPr>
                <w:rFonts w:ascii="Times New Roman" w:hAnsi="Times New Roman" w:cs="Times New Roman"/>
              </w:rPr>
              <w:t>MRPiPS</w:t>
            </w:r>
            <w:proofErr w:type="spellEnd"/>
            <w:r w:rsidRPr="000212FA">
              <w:rPr>
                <w:rFonts w:ascii="Times New Roman" w:hAnsi="Times New Roman" w:cs="Times New Roman"/>
              </w:rPr>
              <w:t xml:space="preserve"> podtrzymuje konieczność zachowania w projekcie ustawy art. 17 ust. 1c w projektowanym brzmieniu.</w:t>
            </w:r>
          </w:p>
        </w:tc>
      </w:tr>
      <w:tr w:rsidR="00F0743A" w:rsidRPr="000212FA" w14:paraId="0D8A9930" w14:textId="14298BA4" w:rsidTr="003318FC">
        <w:tc>
          <w:tcPr>
            <w:tcW w:w="567" w:type="dxa"/>
          </w:tcPr>
          <w:p w14:paraId="5B4ED054" w14:textId="77777777" w:rsidR="00F0743A" w:rsidRPr="000212FA" w:rsidRDefault="00F0743A" w:rsidP="003318FC">
            <w:pPr>
              <w:pStyle w:val="Akapitzlist"/>
              <w:numPr>
                <w:ilvl w:val="0"/>
                <w:numId w:val="1"/>
              </w:numPr>
              <w:spacing w:after="0" w:line="240" w:lineRule="auto"/>
              <w:ind w:left="0" w:firstLine="0"/>
              <w:jc w:val="both"/>
              <w:rPr>
                <w:rFonts w:ascii="Times New Roman" w:hAnsi="Times New Roman" w:cs="Times New Roman"/>
                <w:b/>
              </w:rPr>
            </w:pPr>
          </w:p>
        </w:tc>
        <w:tc>
          <w:tcPr>
            <w:tcW w:w="1418" w:type="dxa"/>
            <w:vAlign w:val="center"/>
          </w:tcPr>
          <w:p w14:paraId="5F0049B4" w14:textId="77777777" w:rsidR="00F0743A" w:rsidRPr="000212FA" w:rsidRDefault="00F0743A" w:rsidP="003318FC">
            <w:pPr>
              <w:spacing w:after="0" w:line="240" w:lineRule="auto"/>
              <w:jc w:val="both"/>
              <w:rPr>
                <w:rFonts w:ascii="Times New Roman" w:hAnsi="Times New Roman" w:cs="Times New Roman"/>
              </w:rPr>
            </w:pPr>
            <w:r w:rsidRPr="000212FA">
              <w:rPr>
                <w:rFonts w:ascii="Times New Roman" w:hAnsi="Times New Roman" w:cs="Times New Roman"/>
              </w:rPr>
              <w:t>Art. 13 pkt 8 projektu:</w:t>
            </w:r>
          </w:p>
          <w:p w14:paraId="4BFE5E9D" w14:textId="21243B15" w:rsidR="00F0743A" w:rsidRPr="000212FA" w:rsidRDefault="00F0743A" w:rsidP="003318FC">
            <w:pPr>
              <w:spacing w:after="0" w:line="240" w:lineRule="auto"/>
              <w:jc w:val="both"/>
              <w:rPr>
                <w:rFonts w:ascii="Times New Roman" w:hAnsi="Times New Roman" w:cs="Times New Roman"/>
              </w:rPr>
            </w:pPr>
            <w:r w:rsidRPr="000212FA">
              <w:rPr>
                <w:rFonts w:ascii="Times New Roman" w:hAnsi="Times New Roman" w:cs="Times New Roman"/>
              </w:rPr>
              <w:t>- w zakresie art. 68b ust. 1</w:t>
            </w:r>
            <w:r w:rsidR="00046DCD" w:rsidRPr="000212FA">
              <w:rPr>
                <w:rFonts w:ascii="Times New Roman" w:hAnsi="Times New Roman" w:cs="Times New Roman"/>
              </w:rPr>
              <w:t xml:space="preserve"> ustawy zasiłkowej</w:t>
            </w:r>
          </w:p>
          <w:p w14:paraId="77837CDE" w14:textId="77777777" w:rsidR="00F0743A" w:rsidRPr="000212FA" w:rsidRDefault="00F0743A" w:rsidP="003318FC">
            <w:pPr>
              <w:spacing w:after="0" w:line="240" w:lineRule="auto"/>
              <w:jc w:val="both"/>
              <w:rPr>
                <w:rFonts w:ascii="Times New Roman" w:hAnsi="Times New Roman" w:cs="Times New Roman"/>
              </w:rPr>
            </w:pPr>
          </w:p>
          <w:p w14:paraId="47357D6C" w14:textId="77777777" w:rsidR="00F0743A" w:rsidRPr="000212FA" w:rsidRDefault="00F0743A" w:rsidP="003318FC">
            <w:pPr>
              <w:spacing w:after="0" w:line="240" w:lineRule="auto"/>
              <w:jc w:val="both"/>
              <w:rPr>
                <w:rFonts w:ascii="Times New Roman" w:hAnsi="Times New Roman" w:cs="Times New Roman"/>
              </w:rPr>
            </w:pPr>
          </w:p>
          <w:p w14:paraId="6ED52214" w14:textId="77777777" w:rsidR="00F0743A" w:rsidRPr="000212FA" w:rsidRDefault="00F0743A" w:rsidP="003318FC">
            <w:pPr>
              <w:spacing w:after="0" w:line="240" w:lineRule="auto"/>
              <w:jc w:val="both"/>
              <w:rPr>
                <w:rFonts w:ascii="Times New Roman" w:hAnsi="Times New Roman" w:cs="Times New Roman"/>
              </w:rPr>
            </w:pPr>
          </w:p>
          <w:p w14:paraId="0B151AF8" w14:textId="77777777" w:rsidR="00F0743A" w:rsidRPr="000212FA" w:rsidRDefault="00F0743A" w:rsidP="003318FC">
            <w:pPr>
              <w:spacing w:after="0" w:line="240" w:lineRule="auto"/>
              <w:jc w:val="both"/>
              <w:rPr>
                <w:rFonts w:ascii="Times New Roman" w:hAnsi="Times New Roman" w:cs="Times New Roman"/>
              </w:rPr>
            </w:pPr>
          </w:p>
          <w:p w14:paraId="13B9EFB8" w14:textId="77777777" w:rsidR="00F0743A" w:rsidRPr="000212FA" w:rsidRDefault="00F0743A" w:rsidP="003318FC">
            <w:pPr>
              <w:spacing w:after="0" w:line="240" w:lineRule="auto"/>
              <w:jc w:val="both"/>
              <w:rPr>
                <w:rFonts w:ascii="Times New Roman" w:hAnsi="Times New Roman" w:cs="Times New Roman"/>
              </w:rPr>
            </w:pPr>
          </w:p>
          <w:p w14:paraId="09B5EC20" w14:textId="77777777" w:rsidR="00F0743A" w:rsidRPr="000212FA" w:rsidRDefault="00F0743A" w:rsidP="003318FC">
            <w:pPr>
              <w:spacing w:after="0" w:line="240" w:lineRule="auto"/>
              <w:jc w:val="both"/>
              <w:rPr>
                <w:rFonts w:ascii="Times New Roman" w:hAnsi="Times New Roman" w:cs="Times New Roman"/>
              </w:rPr>
            </w:pPr>
          </w:p>
          <w:p w14:paraId="0B35D32F" w14:textId="77777777" w:rsidR="00F0743A" w:rsidRPr="000212FA" w:rsidRDefault="00F0743A" w:rsidP="003318FC">
            <w:pPr>
              <w:spacing w:after="0" w:line="240" w:lineRule="auto"/>
              <w:jc w:val="both"/>
              <w:rPr>
                <w:rFonts w:ascii="Times New Roman" w:hAnsi="Times New Roman" w:cs="Times New Roman"/>
              </w:rPr>
            </w:pPr>
          </w:p>
          <w:p w14:paraId="559D0EA1" w14:textId="77777777" w:rsidR="00F0743A" w:rsidRPr="000212FA" w:rsidRDefault="00F0743A" w:rsidP="003318FC">
            <w:pPr>
              <w:spacing w:after="0" w:line="240" w:lineRule="auto"/>
              <w:jc w:val="both"/>
              <w:rPr>
                <w:rFonts w:ascii="Times New Roman" w:hAnsi="Times New Roman" w:cs="Times New Roman"/>
              </w:rPr>
            </w:pPr>
          </w:p>
          <w:p w14:paraId="11BD5E87" w14:textId="77777777" w:rsidR="00F0743A" w:rsidRPr="000212FA" w:rsidRDefault="00F0743A" w:rsidP="003318FC">
            <w:pPr>
              <w:spacing w:after="0" w:line="240" w:lineRule="auto"/>
              <w:jc w:val="both"/>
              <w:rPr>
                <w:rFonts w:ascii="Times New Roman" w:hAnsi="Times New Roman" w:cs="Times New Roman"/>
              </w:rPr>
            </w:pPr>
          </w:p>
          <w:p w14:paraId="38F2D34E" w14:textId="77777777" w:rsidR="00F0743A" w:rsidRPr="000212FA" w:rsidRDefault="00F0743A" w:rsidP="003318FC">
            <w:pPr>
              <w:spacing w:after="0" w:line="240" w:lineRule="auto"/>
              <w:jc w:val="both"/>
              <w:rPr>
                <w:rFonts w:ascii="Times New Roman" w:hAnsi="Times New Roman" w:cs="Times New Roman"/>
              </w:rPr>
            </w:pPr>
          </w:p>
          <w:p w14:paraId="01A8F45C" w14:textId="77777777" w:rsidR="00F0743A" w:rsidRPr="000212FA" w:rsidRDefault="00F0743A" w:rsidP="003318FC">
            <w:pPr>
              <w:spacing w:after="0" w:line="240" w:lineRule="auto"/>
              <w:jc w:val="both"/>
              <w:rPr>
                <w:rFonts w:ascii="Times New Roman" w:hAnsi="Times New Roman" w:cs="Times New Roman"/>
              </w:rPr>
            </w:pPr>
          </w:p>
          <w:p w14:paraId="76CE5710" w14:textId="77777777" w:rsidR="00F0743A" w:rsidRPr="000212FA" w:rsidRDefault="00F0743A" w:rsidP="003318FC">
            <w:pPr>
              <w:spacing w:after="0" w:line="240" w:lineRule="auto"/>
              <w:jc w:val="both"/>
              <w:rPr>
                <w:rFonts w:ascii="Times New Roman" w:hAnsi="Times New Roman" w:cs="Times New Roman"/>
              </w:rPr>
            </w:pPr>
          </w:p>
          <w:p w14:paraId="3EC4D6AF" w14:textId="77777777" w:rsidR="00F0743A" w:rsidRPr="000212FA" w:rsidRDefault="00F0743A" w:rsidP="003318FC">
            <w:pPr>
              <w:spacing w:after="0" w:line="240" w:lineRule="auto"/>
              <w:jc w:val="both"/>
              <w:rPr>
                <w:rFonts w:ascii="Times New Roman" w:hAnsi="Times New Roman" w:cs="Times New Roman"/>
              </w:rPr>
            </w:pPr>
          </w:p>
          <w:p w14:paraId="0AD2B3DD" w14:textId="77777777" w:rsidR="00F0743A" w:rsidRPr="000212FA" w:rsidRDefault="00F0743A" w:rsidP="003318FC">
            <w:pPr>
              <w:spacing w:after="0" w:line="240" w:lineRule="auto"/>
              <w:jc w:val="both"/>
              <w:rPr>
                <w:rFonts w:ascii="Times New Roman" w:hAnsi="Times New Roman" w:cs="Times New Roman"/>
              </w:rPr>
            </w:pPr>
          </w:p>
          <w:p w14:paraId="61FA678E" w14:textId="77777777" w:rsidR="00F0743A" w:rsidRPr="000212FA" w:rsidRDefault="00F0743A" w:rsidP="003318FC">
            <w:pPr>
              <w:spacing w:after="0" w:line="240" w:lineRule="auto"/>
              <w:jc w:val="both"/>
              <w:rPr>
                <w:rFonts w:ascii="Times New Roman" w:hAnsi="Times New Roman" w:cs="Times New Roman"/>
              </w:rPr>
            </w:pPr>
          </w:p>
          <w:p w14:paraId="79CBA42D" w14:textId="77777777" w:rsidR="00F0743A" w:rsidRPr="000212FA" w:rsidRDefault="00F0743A" w:rsidP="003318FC">
            <w:pPr>
              <w:spacing w:after="0" w:line="240" w:lineRule="auto"/>
              <w:jc w:val="both"/>
              <w:rPr>
                <w:rFonts w:ascii="Times New Roman" w:hAnsi="Times New Roman" w:cs="Times New Roman"/>
              </w:rPr>
            </w:pPr>
          </w:p>
          <w:p w14:paraId="799B2045" w14:textId="7AD0B243" w:rsidR="00F0743A" w:rsidRPr="000212FA" w:rsidRDefault="00F0743A" w:rsidP="003318FC">
            <w:pPr>
              <w:spacing w:after="0" w:line="240" w:lineRule="auto"/>
              <w:jc w:val="both"/>
              <w:rPr>
                <w:rFonts w:ascii="Times New Roman" w:hAnsi="Times New Roman" w:cs="Times New Roman"/>
              </w:rPr>
            </w:pPr>
          </w:p>
        </w:tc>
        <w:tc>
          <w:tcPr>
            <w:tcW w:w="1559" w:type="dxa"/>
            <w:vAlign w:val="center"/>
          </w:tcPr>
          <w:p w14:paraId="4F31FDA3" w14:textId="6CA88E9B" w:rsidR="00F0743A" w:rsidRPr="000212FA" w:rsidRDefault="00F0743A" w:rsidP="003318FC">
            <w:pPr>
              <w:spacing w:after="0" w:line="240" w:lineRule="auto"/>
              <w:jc w:val="both"/>
              <w:rPr>
                <w:rFonts w:ascii="Times New Roman" w:hAnsi="Times New Roman" w:cs="Times New Roman"/>
              </w:rPr>
            </w:pPr>
            <w:r w:rsidRPr="000212FA">
              <w:rPr>
                <w:rFonts w:ascii="Times New Roman" w:hAnsi="Times New Roman" w:cs="Times New Roman"/>
              </w:rPr>
              <w:lastRenderedPageBreak/>
              <w:t>MSWiA</w:t>
            </w:r>
          </w:p>
        </w:tc>
        <w:tc>
          <w:tcPr>
            <w:tcW w:w="4536" w:type="dxa"/>
          </w:tcPr>
          <w:p w14:paraId="0E8BFC67" w14:textId="77777777" w:rsidR="00046DCD" w:rsidRPr="000212FA" w:rsidRDefault="00046DCD" w:rsidP="003318FC">
            <w:pPr>
              <w:spacing w:after="0" w:line="240" w:lineRule="auto"/>
              <w:jc w:val="both"/>
              <w:rPr>
                <w:rFonts w:ascii="Times New Roman" w:hAnsi="Times New Roman" w:cs="Times New Roman"/>
              </w:rPr>
            </w:pPr>
            <w:r w:rsidRPr="000212FA">
              <w:rPr>
                <w:rFonts w:ascii="Times New Roman" w:hAnsi="Times New Roman" w:cs="Times New Roman"/>
              </w:rPr>
              <w:t xml:space="preserve">Odnośnie do dodawanego art. 68b ust. 1 wskazuję, iż w przepisie należy usunąć odwołanie do art. 68 ust. 2, gdyż art. 13 pkt 7 lit. c projektu przewiduje uchylenie art. 68 ust. 2 ustawy z dnia 25 czerwca 1999 r. o świadczeniach pieniężnych z ubezpieczenia społecznego w razie choroby i macierzyństwa. </w:t>
            </w:r>
          </w:p>
          <w:p w14:paraId="4BDC38BF" w14:textId="21769D76" w:rsidR="00F0743A" w:rsidRPr="000212FA" w:rsidRDefault="00046DCD" w:rsidP="003318FC">
            <w:pPr>
              <w:spacing w:after="0" w:line="240" w:lineRule="auto"/>
              <w:jc w:val="both"/>
              <w:rPr>
                <w:rFonts w:ascii="Times New Roman" w:hAnsi="Times New Roman" w:cs="Times New Roman"/>
              </w:rPr>
            </w:pPr>
            <w:r w:rsidRPr="000212FA">
              <w:rPr>
                <w:rFonts w:ascii="Times New Roman" w:hAnsi="Times New Roman" w:cs="Times New Roman"/>
              </w:rPr>
              <w:t xml:space="preserve">Ponadto odnośnie do dodawanego art. 68b przewidującego wszczęcie przez Zakład Ubezpieczeń Społecznych kontroli prawidłowości wykorzystywania przez ubezpieczonego zwolnienia od pracy z urzędu – proponuję rozważyć dodanie przepisów regulujących tryb informowania płatnika/pracodawcy przez Zakład Ubezpieczeń </w:t>
            </w:r>
            <w:r w:rsidRPr="000212FA">
              <w:rPr>
                <w:rFonts w:ascii="Times New Roman" w:hAnsi="Times New Roman" w:cs="Times New Roman"/>
              </w:rPr>
              <w:lastRenderedPageBreak/>
              <w:t>Społecznych w przypadku ustalenia utraty prawa do zasiłku w wyniku przeprowadzonej kontroli prawidłowości wykorzystywania przez ubezpieczonego zwolnienia od pracy; analogicznie jak w przypadku rozwiązań dotyczących kontroli zaświadczeń lekarskich (art. 59 ust. 10 i 11 ustawy).</w:t>
            </w:r>
          </w:p>
        </w:tc>
        <w:tc>
          <w:tcPr>
            <w:tcW w:w="3402" w:type="dxa"/>
            <w:vAlign w:val="center"/>
          </w:tcPr>
          <w:p w14:paraId="5A79CBC1" w14:textId="3F18A11B" w:rsidR="00F0743A" w:rsidRPr="000212FA" w:rsidRDefault="00F0743A" w:rsidP="003318FC">
            <w:pPr>
              <w:spacing w:after="0" w:line="240" w:lineRule="auto"/>
              <w:jc w:val="both"/>
              <w:rPr>
                <w:rFonts w:ascii="Times New Roman" w:hAnsi="Times New Roman" w:cs="Times New Roman"/>
              </w:rPr>
            </w:pPr>
          </w:p>
        </w:tc>
        <w:tc>
          <w:tcPr>
            <w:tcW w:w="4253" w:type="dxa"/>
          </w:tcPr>
          <w:p w14:paraId="74A84A65" w14:textId="50E85B79" w:rsidR="00211F67" w:rsidRPr="000212FA" w:rsidRDefault="00211F67" w:rsidP="003318FC">
            <w:pPr>
              <w:spacing w:after="0" w:line="240" w:lineRule="auto"/>
              <w:jc w:val="both"/>
              <w:rPr>
                <w:rFonts w:ascii="Times New Roman" w:hAnsi="Times New Roman" w:cs="Times New Roman"/>
                <w:b/>
                <w:bCs/>
              </w:rPr>
            </w:pPr>
            <w:r w:rsidRPr="000212FA">
              <w:rPr>
                <w:rFonts w:ascii="Times New Roman" w:hAnsi="Times New Roman" w:cs="Times New Roman"/>
                <w:b/>
                <w:bCs/>
              </w:rPr>
              <w:t>Uwaga uwzględniona.</w:t>
            </w:r>
          </w:p>
          <w:p w14:paraId="40A93325" w14:textId="7D0A150F" w:rsidR="00211F67" w:rsidRPr="000212FA" w:rsidRDefault="00211F67" w:rsidP="003318FC">
            <w:pPr>
              <w:spacing w:after="0" w:line="240" w:lineRule="auto"/>
              <w:jc w:val="both"/>
              <w:rPr>
                <w:rFonts w:ascii="Times New Roman" w:hAnsi="Times New Roman" w:cs="Times New Roman"/>
              </w:rPr>
            </w:pPr>
            <w:r w:rsidRPr="000212FA">
              <w:rPr>
                <w:rFonts w:ascii="Times New Roman" w:hAnsi="Times New Roman" w:cs="Times New Roman"/>
              </w:rPr>
              <w:t>Z projektu ustawy zmieniającej w art. 13 pkt 8 usunięte zosta</w:t>
            </w:r>
            <w:r w:rsidR="005D60E4" w:rsidRPr="000212FA">
              <w:rPr>
                <w:rFonts w:ascii="Times New Roman" w:hAnsi="Times New Roman" w:cs="Times New Roman"/>
              </w:rPr>
              <w:t>ło</w:t>
            </w:r>
            <w:r w:rsidRPr="000212FA">
              <w:rPr>
                <w:rFonts w:ascii="Times New Roman" w:hAnsi="Times New Roman" w:cs="Times New Roman"/>
              </w:rPr>
              <w:t xml:space="preserve"> odwołanie do art. 68 ust. 2 ustawy zasiłkowej.</w:t>
            </w:r>
          </w:p>
          <w:p w14:paraId="06D6D411" w14:textId="7A924E23" w:rsidR="00E85C0A" w:rsidRPr="000212FA" w:rsidRDefault="00E85C0A" w:rsidP="003318FC">
            <w:pPr>
              <w:spacing w:after="0" w:line="240" w:lineRule="auto"/>
              <w:jc w:val="both"/>
              <w:rPr>
                <w:rFonts w:ascii="Times New Roman" w:hAnsi="Times New Roman" w:cs="Times New Roman"/>
              </w:rPr>
            </w:pPr>
          </w:p>
          <w:p w14:paraId="59CC9D3C" w14:textId="5E104BB1" w:rsidR="00E85C0A" w:rsidRPr="000212FA" w:rsidRDefault="00E85C0A" w:rsidP="003318FC">
            <w:pPr>
              <w:spacing w:after="0" w:line="240" w:lineRule="auto"/>
              <w:jc w:val="both"/>
              <w:rPr>
                <w:rFonts w:ascii="Times New Roman" w:hAnsi="Times New Roman" w:cs="Times New Roman"/>
                <w:b/>
                <w:bCs/>
              </w:rPr>
            </w:pPr>
            <w:r w:rsidRPr="000212FA">
              <w:rPr>
                <w:rFonts w:ascii="Times New Roman" w:hAnsi="Times New Roman" w:cs="Times New Roman"/>
                <w:b/>
                <w:bCs/>
              </w:rPr>
              <w:t>Uwaga wyjaśniona.</w:t>
            </w:r>
          </w:p>
          <w:p w14:paraId="18DEC7B4" w14:textId="30D695E6" w:rsidR="00F0743A" w:rsidRPr="000212FA" w:rsidRDefault="00211F67" w:rsidP="003318FC">
            <w:pPr>
              <w:spacing w:after="0" w:line="240" w:lineRule="auto"/>
              <w:jc w:val="both"/>
              <w:rPr>
                <w:rFonts w:ascii="Times New Roman" w:hAnsi="Times New Roman" w:cs="Times New Roman"/>
              </w:rPr>
            </w:pPr>
            <w:r w:rsidRPr="000212FA">
              <w:rPr>
                <w:rFonts w:ascii="Times New Roman" w:hAnsi="Times New Roman" w:cs="Times New Roman"/>
              </w:rPr>
              <w:t xml:space="preserve">W zakresie propozycji dodania przepisów regulujących tryb informowania płatnika/pracodawcy  o ustaleniu utraty prawa do zasiłku przez ubezpieczonego </w:t>
            </w:r>
            <w:r w:rsidRPr="000212FA">
              <w:rPr>
                <w:rFonts w:ascii="Times New Roman" w:hAnsi="Times New Roman" w:cs="Times New Roman"/>
              </w:rPr>
              <w:br/>
              <w:t xml:space="preserve">w wyniku przeprowadzonej kontroli prawidłowości wykorzystywania zwolnienia od pracy wskazujemy, że </w:t>
            </w:r>
            <w:r w:rsidR="004225B6" w:rsidRPr="000212FA">
              <w:rPr>
                <w:rFonts w:ascii="Times New Roman" w:hAnsi="Times New Roman" w:cs="Times New Roman"/>
              </w:rPr>
              <w:t xml:space="preserve">nie ma potrzeby wprowadzania takiej regulacji, gdyż Zakład wysyła </w:t>
            </w:r>
            <w:r w:rsidR="00E60663" w:rsidRPr="000212FA">
              <w:rPr>
                <w:rFonts w:ascii="Times New Roman" w:hAnsi="Times New Roman" w:cs="Times New Roman"/>
                <w:color w:val="000000" w:themeColor="text1"/>
              </w:rPr>
              <w:t>do płatnika</w:t>
            </w:r>
            <w:r w:rsidRPr="000212FA">
              <w:rPr>
                <w:rFonts w:ascii="Times New Roman" w:hAnsi="Times New Roman" w:cs="Times New Roman"/>
                <w:color w:val="000000" w:themeColor="text1"/>
              </w:rPr>
              <w:t xml:space="preserve">/pracodawcy (jako </w:t>
            </w:r>
            <w:r w:rsidRPr="000212FA">
              <w:rPr>
                <w:rFonts w:ascii="Times New Roman" w:hAnsi="Times New Roman" w:cs="Times New Roman"/>
                <w:color w:val="000000" w:themeColor="text1"/>
              </w:rPr>
              <w:lastRenderedPageBreak/>
              <w:t>zainteresowanego) decyzj</w:t>
            </w:r>
            <w:r w:rsidR="004225B6" w:rsidRPr="000212FA">
              <w:rPr>
                <w:rFonts w:ascii="Times New Roman" w:hAnsi="Times New Roman" w:cs="Times New Roman"/>
                <w:color w:val="000000" w:themeColor="text1"/>
              </w:rPr>
              <w:t>e</w:t>
            </w:r>
            <w:r w:rsidRPr="000212FA">
              <w:rPr>
                <w:rFonts w:ascii="Times New Roman" w:hAnsi="Times New Roman" w:cs="Times New Roman"/>
                <w:color w:val="000000" w:themeColor="text1"/>
              </w:rPr>
              <w:t xml:space="preserve"> </w:t>
            </w:r>
            <w:r w:rsidR="00E60663" w:rsidRPr="000212FA">
              <w:rPr>
                <w:rFonts w:ascii="Times New Roman" w:hAnsi="Times New Roman" w:cs="Times New Roman"/>
                <w:color w:val="000000" w:themeColor="text1"/>
              </w:rPr>
              <w:t xml:space="preserve">w zakresie utraty </w:t>
            </w:r>
            <w:r w:rsidRPr="000212FA">
              <w:rPr>
                <w:rFonts w:ascii="Times New Roman" w:hAnsi="Times New Roman" w:cs="Times New Roman"/>
                <w:color w:val="000000" w:themeColor="text1"/>
              </w:rPr>
              <w:t xml:space="preserve">prawa do </w:t>
            </w:r>
            <w:r w:rsidR="00E60663" w:rsidRPr="000212FA">
              <w:rPr>
                <w:rFonts w:ascii="Times New Roman" w:hAnsi="Times New Roman" w:cs="Times New Roman"/>
                <w:color w:val="000000" w:themeColor="text1"/>
              </w:rPr>
              <w:t>zasiłku</w:t>
            </w:r>
            <w:r w:rsidRPr="000212FA">
              <w:rPr>
                <w:rFonts w:ascii="Times New Roman" w:hAnsi="Times New Roman" w:cs="Times New Roman"/>
                <w:color w:val="000000" w:themeColor="text1"/>
              </w:rPr>
              <w:t xml:space="preserve"> </w:t>
            </w:r>
            <w:r w:rsidR="00135599" w:rsidRPr="000212FA">
              <w:rPr>
                <w:rFonts w:ascii="Times New Roman" w:hAnsi="Times New Roman" w:cs="Times New Roman"/>
                <w:color w:val="000000" w:themeColor="text1"/>
              </w:rPr>
              <w:t xml:space="preserve">przez </w:t>
            </w:r>
            <w:r w:rsidRPr="000212FA">
              <w:rPr>
                <w:rFonts w:ascii="Times New Roman" w:hAnsi="Times New Roman" w:cs="Times New Roman"/>
                <w:color w:val="000000" w:themeColor="text1"/>
              </w:rPr>
              <w:t>ubezpieczonego.</w:t>
            </w:r>
          </w:p>
        </w:tc>
      </w:tr>
      <w:tr w:rsidR="00F0743A" w:rsidRPr="000212FA" w14:paraId="5B622B50" w14:textId="77777777" w:rsidTr="003318FC">
        <w:tc>
          <w:tcPr>
            <w:tcW w:w="567" w:type="dxa"/>
          </w:tcPr>
          <w:p w14:paraId="195C1721" w14:textId="77777777" w:rsidR="00F0743A" w:rsidRPr="000212FA" w:rsidRDefault="00F0743A" w:rsidP="003318FC">
            <w:pPr>
              <w:pStyle w:val="Akapitzlist"/>
              <w:numPr>
                <w:ilvl w:val="0"/>
                <w:numId w:val="1"/>
              </w:numPr>
              <w:spacing w:after="0" w:line="240" w:lineRule="auto"/>
              <w:ind w:left="0" w:firstLine="0"/>
              <w:jc w:val="both"/>
              <w:rPr>
                <w:rFonts w:ascii="Times New Roman" w:hAnsi="Times New Roman" w:cs="Times New Roman"/>
                <w:b/>
              </w:rPr>
            </w:pPr>
          </w:p>
        </w:tc>
        <w:tc>
          <w:tcPr>
            <w:tcW w:w="1418" w:type="dxa"/>
            <w:vAlign w:val="center"/>
          </w:tcPr>
          <w:p w14:paraId="7CF00C86" w14:textId="0C7DF962" w:rsidR="00F0743A" w:rsidRPr="000212FA" w:rsidRDefault="00F0743A" w:rsidP="003318FC">
            <w:pPr>
              <w:spacing w:after="0" w:line="240" w:lineRule="auto"/>
              <w:jc w:val="both"/>
              <w:rPr>
                <w:rFonts w:ascii="Times New Roman" w:hAnsi="Times New Roman" w:cs="Times New Roman"/>
              </w:rPr>
            </w:pPr>
            <w:r w:rsidRPr="000212FA">
              <w:rPr>
                <w:rFonts w:ascii="Times New Roman" w:hAnsi="Times New Roman" w:cs="Times New Roman"/>
              </w:rPr>
              <w:t xml:space="preserve">Art. 13 pkt </w:t>
            </w:r>
            <w:r w:rsidR="00FF6E9D" w:rsidRPr="000212FA">
              <w:rPr>
                <w:rFonts w:ascii="Times New Roman" w:hAnsi="Times New Roman" w:cs="Times New Roman"/>
              </w:rPr>
              <w:t>8</w:t>
            </w:r>
            <w:r w:rsidRPr="000212FA">
              <w:rPr>
                <w:rFonts w:ascii="Times New Roman" w:hAnsi="Times New Roman" w:cs="Times New Roman"/>
              </w:rPr>
              <w:t xml:space="preserve"> projektu w zakresie art. 68c</w:t>
            </w:r>
            <w:r w:rsidR="00FF6E9D" w:rsidRPr="000212FA">
              <w:rPr>
                <w:rFonts w:ascii="Times New Roman" w:hAnsi="Times New Roman" w:cs="Times New Roman"/>
              </w:rPr>
              <w:t xml:space="preserve"> ustawy zasiłkowej</w:t>
            </w:r>
          </w:p>
        </w:tc>
        <w:tc>
          <w:tcPr>
            <w:tcW w:w="1559" w:type="dxa"/>
            <w:vAlign w:val="center"/>
          </w:tcPr>
          <w:p w14:paraId="201D7215" w14:textId="2D48B7EB" w:rsidR="00F0743A" w:rsidRPr="000212FA" w:rsidRDefault="00F0743A" w:rsidP="003318FC">
            <w:pPr>
              <w:spacing w:after="0" w:line="240" w:lineRule="auto"/>
              <w:jc w:val="both"/>
              <w:rPr>
                <w:rFonts w:ascii="Times New Roman" w:hAnsi="Times New Roman" w:cs="Times New Roman"/>
              </w:rPr>
            </w:pPr>
            <w:r w:rsidRPr="000212FA">
              <w:rPr>
                <w:rFonts w:ascii="Times New Roman" w:hAnsi="Times New Roman" w:cs="Times New Roman"/>
              </w:rPr>
              <w:t>MF</w:t>
            </w:r>
          </w:p>
        </w:tc>
        <w:tc>
          <w:tcPr>
            <w:tcW w:w="4536" w:type="dxa"/>
          </w:tcPr>
          <w:p w14:paraId="3A122D50" w14:textId="77777777" w:rsidR="00FF6E9D" w:rsidRPr="000212FA" w:rsidRDefault="00FF6E9D" w:rsidP="003318FC">
            <w:pPr>
              <w:spacing w:after="0" w:line="240" w:lineRule="auto"/>
              <w:jc w:val="both"/>
              <w:rPr>
                <w:rFonts w:ascii="Times New Roman" w:hAnsi="Times New Roman" w:cs="Times New Roman"/>
              </w:rPr>
            </w:pPr>
            <w:r w:rsidRPr="000212FA">
              <w:rPr>
                <w:rFonts w:ascii="Times New Roman" w:hAnsi="Times New Roman" w:cs="Times New Roman"/>
              </w:rPr>
              <w:t>Projektowany art. 68c ustawy o systemie ubezpieczeń społecznych wprowadza szerokie uprawnienia dla osób (pracowników ZUS), przeprowadzających kontrole prawidłowości wykorzystywania zwolnień lekarskich. Ministerstwo Finansów popiera generalny kierunek zmian, który zmierza do przeciwdziałania nadużyciom i rzetelnej weryfikacji, czy zwolnienie lekarskie jest wykorzystywane zgodnie z jego celem. Wydaje się jednak, że środki prowadzące do tego celu zostały w obecnym projekcie zakrojone zbyt szeroko. Kontrolującemu ma bowiem przysługiwać uprawnienie między innymi do:</w:t>
            </w:r>
          </w:p>
          <w:p w14:paraId="66611AC5" w14:textId="77777777" w:rsidR="00FF6E9D" w:rsidRPr="000212FA" w:rsidRDefault="00FF6E9D" w:rsidP="003318FC">
            <w:pPr>
              <w:spacing w:after="0" w:line="240" w:lineRule="auto"/>
              <w:jc w:val="both"/>
              <w:rPr>
                <w:rFonts w:ascii="Times New Roman" w:hAnsi="Times New Roman" w:cs="Times New Roman"/>
              </w:rPr>
            </w:pPr>
            <w:r w:rsidRPr="000212FA">
              <w:rPr>
                <w:rFonts w:ascii="Times New Roman" w:hAnsi="Times New Roman" w:cs="Times New Roman"/>
              </w:rPr>
              <w:t>- wstępu, przebywania i poruszania się w miejscu przeprowadzania kontroli (w tym</w:t>
            </w:r>
          </w:p>
          <w:p w14:paraId="364CE710" w14:textId="77777777" w:rsidR="00FF6E9D" w:rsidRPr="000212FA" w:rsidRDefault="00FF6E9D" w:rsidP="003318FC">
            <w:pPr>
              <w:spacing w:after="0" w:line="240" w:lineRule="auto"/>
              <w:jc w:val="both"/>
              <w:rPr>
                <w:rFonts w:ascii="Times New Roman" w:hAnsi="Times New Roman" w:cs="Times New Roman"/>
              </w:rPr>
            </w:pPr>
            <w:r w:rsidRPr="000212FA">
              <w:rPr>
                <w:rFonts w:ascii="Times New Roman" w:hAnsi="Times New Roman" w:cs="Times New Roman"/>
              </w:rPr>
              <w:t>– w miejscu zamieszkania osoby kontrolowanej),</w:t>
            </w:r>
          </w:p>
          <w:p w14:paraId="3F490F14" w14:textId="77777777" w:rsidR="00FF6E9D" w:rsidRPr="000212FA" w:rsidRDefault="00FF6E9D" w:rsidP="003318FC">
            <w:pPr>
              <w:spacing w:after="0" w:line="240" w:lineRule="auto"/>
              <w:jc w:val="both"/>
              <w:rPr>
                <w:rFonts w:ascii="Times New Roman" w:hAnsi="Times New Roman" w:cs="Times New Roman"/>
              </w:rPr>
            </w:pPr>
            <w:r w:rsidRPr="000212FA">
              <w:rPr>
                <w:rFonts w:ascii="Times New Roman" w:hAnsi="Times New Roman" w:cs="Times New Roman"/>
              </w:rPr>
              <w:t>- legitymowania osób przebywających w miejscu przeprowadzania kontroli, w celu ustalenia ich tożsamości (w tym – domowników i wszelkich osób postronnych znajdujących się w domu osoby kontrolowanej),</w:t>
            </w:r>
          </w:p>
          <w:p w14:paraId="24AE5DC8" w14:textId="70D449EE" w:rsidR="00F0743A" w:rsidRPr="000212FA" w:rsidRDefault="00FF6E9D" w:rsidP="003318FC">
            <w:pPr>
              <w:spacing w:after="0" w:line="240" w:lineRule="auto"/>
              <w:jc w:val="both"/>
              <w:rPr>
                <w:rFonts w:ascii="Times New Roman" w:hAnsi="Times New Roman" w:cs="Times New Roman"/>
              </w:rPr>
            </w:pPr>
            <w:r w:rsidRPr="000212FA">
              <w:rPr>
                <w:rFonts w:ascii="Times New Roman" w:hAnsi="Times New Roman" w:cs="Times New Roman"/>
              </w:rPr>
              <w:t xml:space="preserve">- żądania oraz odbierania wyjaśnień od osoby kontrolowanej oraz innych osób przebywających w miejscu przeprowadzania kontroli (w tym – od domowników i osób postronnych znajdujących się w domu osoby kontrolowanej). Taki zakres </w:t>
            </w:r>
            <w:r w:rsidRPr="000212FA">
              <w:rPr>
                <w:rFonts w:ascii="Times New Roman" w:hAnsi="Times New Roman" w:cs="Times New Roman"/>
              </w:rPr>
              <w:lastRenderedPageBreak/>
              <w:t>projektowanych uprawnień kontrolerów ZUS nie znajduje odzwierciedlenia w uprawnieniach innych przedstawicieli organów publicznych, w tym - nawet funkcjonariuszy organów ścigania. Projekt ustawy nie określa szczegółowej procedury przeprowadzenia kontroli, ani nie odsyła do stosownych przepisów proceduralnych, nie przewiduje żadnych ograniczeń w czasie trwania kontroli ani w częstotliwości jej ponawiania. Nie ustanawia statusu świadków dla osób które znajdują się w domu osoby kontrolowanej, nie przewiduje prawa do odmowy udzielania wyjaśnień dla osób najbliższych (jak ma to miejsce m.in. w KPA, KPC, KPK). Należy przypomnieć, że nienaruszalność mieszkania jest prawem wprost zagwarantowanym w art. 50 Konstytucji RP. Ograniczenie praw konstytucyjnych jest dopuszczalne tylko wtedy, gdy jest konieczne ze względu bezpieczeństwa państwa lub porządku publicznego, bądź dla ochrony środowiska, zdrowia i moralności publicznej, albo wolności i praw innych osób (art. 31 ust. 3 Konstytucji RP). Ze względu na wagę poruszanego zagadnienia, rekomenduję uzyskanie w omawianym zakresie stanowiska Rzecznika Praw Obywatelskich.</w:t>
            </w:r>
          </w:p>
        </w:tc>
        <w:tc>
          <w:tcPr>
            <w:tcW w:w="3402" w:type="dxa"/>
            <w:vAlign w:val="center"/>
          </w:tcPr>
          <w:p w14:paraId="50508671" w14:textId="77777777" w:rsidR="00F0743A" w:rsidRPr="000212FA" w:rsidRDefault="00F0743A" w:rsidP="003318FC">
            <w:pPr>
              <w:spacing w:after="0" w:line="240" w:lineRule="auto"/>
              <w:jc w:val="both"/>
              <w:rPr>
                <w:rFonts w:ascii="Times New Roman" w:hAnsi="Times New Roman" w:cs="Times New Roman"/>
              </w:rPr>
            </w:pPr>
          </w:p>
        </w:tc>
        <w:tc>
          <w:tcPr>
            <w:tcW w:w="4253" w:type="dxa"/>
          </w:tcPr>
          <w:p w14:paraId="5308F482" w14:textId="3234B58B" w:rsidR="00523BA2" w:rsidRPr="000212FA" w:rsidRDefault="00523BA2" w:rsidP="003318FC">
            <w:pPr>
              <w:spacing w:after="0" w:line="240" w:lineRule="auto"/>
              <w:jc w:val="both"/>
              <w:rPr>
                <w:rFonts w:ascii="Times New Roman" w:hAnsi="Times New Roman" w:cs="Times New Roman"/>
                <w:b/>
                <w:bCs/>
              </w:rPr>
            </w:pPr>
            <w:r w:rsidRPr="000212FA">
              <w:rPr>
                <w:rFonts w:ascii="Times New Roman" w:hAnsi="Times New Roman" w:cs="Times New Roman"/>
                <w:b/>
                <w:bCs/>
              </w:rPr>
              <w:t>Uwaga uwzględniona.</w:t>
            </w:r>
          </w:p>
          <w:p w14:paraId="355CC929" w14:textId="77777777" w:rsidR="00523BA2" w:rsidRPr="000212FA" w:rsidRDefault="00523BA2" w:rsidP="003318FC">
            <w:pPr>
              <w:spacing w:after="0" w:line="240" w:lineRule="auto"/>
              <w:jc w:val="both"/>
              <w:rPr>
                <w:rFonts w:ascii="Times New Roman" w:hAnsi="Times New Roman" w:cs="Times New Roman"/>
              </w:rPr>
            </w:pPr>
          </w:p>
          <w:p w14:paraId="40A40260" w14:textId="0B789593" w:rsidR="00F0743A" w:rsidRPr="000212FA" w:rsidRDefault="00E60663" w:rsidP="003318FC">
            <w:pPr>
              <w:spacing w:after="0" w:line="240" w:lineRule="auto"/>
              <w:jc w:val="both"/>
              <w:rPr>
                <w:rFonts w:ascii="Times New Roman" w:hAnsi="Times New Roman" w:cs="Times New Roman"/>
              </w:rPr>
            </w:pPr>
            <w:r w:rsidRPr="000212FA">
              <w:rPr>
                <w:rFonts w:ascii="Times New Roman" w:hAnsi="Times New Roman" w:cs="Times New Roman"/>
              </w:rPr>
              <w:t>Ogranicz</w:t>
            </w:r>
            <w:r w:rsidR="00A0155C" w:rsidRPr="000212FA">
              <w:rPr>
                <w:rFonts w:ascii="Times New Roman" w:hAnsi="Times New Roman" w:cs="Times New Roman"/>
              </w:rPr>
              <w:t xml:space="preserve">ono zakres podmiotowy projektowanych zmian wyłącznie do </w:t>
            </w:r>
            <w:r w:rsidRPr="000212FA">
              <w:rPr>
                <w:rFonts w:ascii="Times New Roman" w:hAnsi="Times New Roman" w:cs="Times New Roman"/>
              </w:rPr>
              <w:t xml:space="preserve"> osoby kontrolowanej</w:t>
            </w:r>
            <w:r w:rsidR="00A0155C" w:rsidRPr="000212FA">
              <w:rPr>
                <w:rFonts w:ascii="Times New Roman" w:hAnsi="Times New Roman" w:cs="Times New Roman"/>
              </w:rPr>
              <w:t>.</w:t>
            </w:r>
          </w:p>
          <w:p w14:paraId="51A22E42" w14:textId="384E6937" w:rsidR="00EC1935" w:rsidRPr="000212FA" w:rsidRDefault="00255F17" w:rsidP="003318FC">
            <w:pPr>
              <w:spacing w:after="0" w:line="240" w:lineRule="auto"/>
              <w:jc w:val="both"/>
              <w:rPr>
                <w:rFonts w:ascii="Times New Roman" w:hAnsi="Times New Roman" w:cs="Times New Roman"/>
              </w:rPr>
            </w:pPr>
            <w:r w:rsidRPr="000212FA">
              <w:rPr>
                <w:rFonts w:ascii="Times New Roman" w:hAnsi="Times New Roman" w:cs="Times New Roman"/>
              </w:rPr>
              <w:t xml:space="preserve">Wprowadzono </w:t>
            </w:r>
            <w:r w:rsidR="00AE7137" w:rsidRPr="000212FA">
              <w:rPr>
                <w:rFonts w:ascii="Times New Roman" w:hAnsi="Times New Roman" w:cs="Times New Roman"/>
              </w:rPr>
              <w:t>ogólną dyrektywę w zakresie czasu trwania kontroli.</w:t>
            </w:r>
          </w:p>
          <w:p w14:paraId="3327261E" w14:textId="40C9F1D7" w:rsidR="00AE7137" w:rsidRPr="000212FA" w:rsidRDefault="00AE7137" w:rsidP="003318FC">
            <w:pPr>
              <w:spacing w:after="0" w:line="240" w:lineRule="auto"/>
              <w:jc w:val="both"/>
              <w:rPr>
                <w:rFonts w:ascii="Times New Roman" w:hAnsi="Times New Roman" w:cs="Times New Roman"/>
              </w:rPr>
            </w:pPr>
            <w:r w:rsidRPr="000212FA">
              <w:rPr>
                <w:rFonts w:ascii="Times New Roman" w:hAnsi="Times New Roman" w:cs="Times New Roman"/>
              </w:rPr>
              <w:t xml:space="preserve">Jednocześnie wyjaśniamy, że z aktualnych zapisów rozporządzenia Ministra Pracy i Polityki Socjalnej z dnia 27 lipca 1999 r.  </w:t>
            </w:r>
            <w:r w:rsidRPr="000212FA">
              <w:rPr>
                <w:rFonts w:ascii="Times New Roman" w:hAnsi="Times New Roman" w:cs="Times New Roman"/>
                <w:i/>
                <w:iCs/>
              </w:rPr>
              <w:t>w sprawie szczegółowych zasad i trybu kontroli prawidłowości wykorzystywania zwolnień lekarskich od pracy oraz formalnej kontroli zaświadczeń lekarskich</w:t>
            </w:r>
            <w:r w:rsidRPr="000212FA">
              <w:rPr>
                <w:rFonts w:ascii="Times New Roman" w:hAnsi="Times New Roman" w:cs="Times New Roman"/>
              </w:rPr>
              <w:t xml:space="preserve"> (Dz. U. Nr 65, poz. 743)  wynika, że obecnie kontrola może być przeprowadzana w miejscu zamieszkania, miejscu czasowego pobytu lub miejscu zatrudnienia osoby kontrolowanej. Zapisy te zostały przeniesione na grunt ustawy i jednocześnie uszczegółowiono zasady w tym zakresie oraz zapewniono ochronę prywatności</w:t>
            </w:r>
            <w:r w:rsidR="005110C5" w:rsidRPr="000212FA">
              <w:rPr>
                <w:rFonts w:ascii="Times New Roman" w:hAnsi="Times New Roman" w:cs="Times New Roman"/>
              </w:rPr>
              <w:t xml:space="preserve"> osoby kontrolowanej i innych osób przebywających w miejscu kontroli, w sposób wolny od ryzyka pogorszenia stanu zdrowia.</w:t>
            </w:r>
          </w:p>
          <w:p w14:paraId="5F328AFC" w14:textId="77777777" w:rsidR="005110C5" w:rsidRPr="000212FA" w:rsidRDefault="005110C5" w:rsidP="003318FC">
            <w:pPr>
              <w:spacing w:after="0" w:line="240" w:lineRule="auto"/>
              <w:jc w:val="both"/>
              <w:rPr>
                <w:rFonts w:ascii="Times New Roman" w:hAnsi="Times New Roman" w:cs="Times New Roman"/>
              </w:rPr>
            </w:pPr>
          </w:p>
          <w:p w14:paraId="3C426D26" w14:textId="09CE39AF" w:rsidR="00A8737D" w:rsidRPr="000212FA" w:rsidRDefault="00760F98" w:rsidP="003318FC">
            <w:pPr>
              <w:spacing w:after="0" w:line="240" w:lineRule="auto"/>
              <w:jc w:val="both"/>
              <w:rPr>
                <w:rFonts w:ascii="Times New Roman" w:hAnsi="Times New Roman" w:cs="Times New Roman"/>
              </w:rPr>
            </w:pPr>
            <w:r w:rsidRPr="000212FA">
              <w:rPr>
                <w:rFonts w:ascii="Times New Roman" w:hAnsi="Times New Roman" w:cs="Times New Roman"/>
              </w:rPr>
              <w:lastRenderedPageBreak/>
              <w:t xml:space="preserve">Zdaniem </w:t>
            </w:r>
            <w:proofErr w:type="spellStart"/>
            <w:r w:rsidR="005B4A9A" w:rsidRPr="000212FA">
              <w:rPr>
                <w:rFonts w:ascii="Times New Roman" w:hAnsi="Times New Roman" w:cs="Times New Roman"/>
              </w:rPr>
              <w:t>MRPiPS</w:t>
            </w:r>
            <w:proofErr w:type="spellEnd"/>
            <w:r w:rsidRPr="000212FA">
              <w:rPr>
                <w:rFonts w:ascii="Times New Roman" w:hAnsi="Times New Roman" w:cs="Times New Roman"/>
              </w:rPr>
              <w:t xml:space="preserve"> rekomendacja uzyskania stanowiska </w:t>
            </w:r>
            <w:r w:rsidR="00A8737D" w:rsidRPr="000212FA">
              <w:rPr>
                <w:rFonts w:ascii="Times New Roman" w:hAnsi="Times New Roman" w:cs="Times New Roman"/>
              </w:rPr>
              <w:t xml:space="preserve">RPO </w:t>
            </w:r>
            <w:r w:rsidRPr="000212FA">
              <w:rPr>
                <w:rFonts w:ascii="Times New Roman" w:hAnsi="Times New Roman" w:cs="Times New Roman"/>
              </w:rPr>
              <w:t xml:space="preserve">jest </w:t>
            </w:r>
            <w:r w:rsidR="00A76321" w:rsidRPr="000212FA">
              <w:rPr>
                <w:rFonts w:ascii="Times New Roman" w:hAnsi="Times New Roman" w:cs="Times New Roman"/>
              </w:rPr>
              <w:t>nadmiarowa, gdyż proponowane rozwiązania w zakresie kontroli nie wprowadzają istotnych ograniczeń w zakresie praw konstytucyjnych obywatela w stosunku do obecnie funkcjonujących</w:t>
            </w:r>
            <w:r w:rsidR="00A8737D" w:rsidRPr="000212FA">
              <w:rPr>
                <w:rFonts w:ascii="Times New Roman" w:hAnsi="Times New Roman" w:cs="Times New Roman"/>
              </w:rPr>
              <w:t>.</w:t>
            </w:r>
            <w:r w:rsidR="00A76321" w:rsidRPr="000212FA">
              <w:rPr>
                <w:rFonts w:ascii="Times New Roman" w:hAnsi="Times New Roman" w:cs="Times New Roman"/>
              </w:rPr>
              <w:t xml:space="preserve"> </w:t>
            </w:r>
          </w:p>
        </w:tc>
      </w:tr>
      <w:tr w:rsidR="00F0743A" w:rsidRPr="000212FA" w14:paraId="64C9B68E" w14:textId="77777777" w:rsidTr="003318FC">
        <w:tc>
          <w:tcPr>
            <w:tcW w:w="567" w:type="dxa"/>
          </w:tcPr>
          <w:p w14:paraId="10EF89C9" w14:textId="77777777" w:rsidR="00F0743A" w:rsidRPr="000212FA" w:rsidRDefault="00F0743A" w:rsidP="003318FC">
            <w:pPr>
              <w:pStyle w:val="Akapitzlist"/>
              <w:numPr>
                <w:ilvl w:val="0"/>
                <w:numId w:val="1"/>
              </w:numPr>
              <w:spacing w:after="0" w:line="240" w:lineRule="auto"/>
              <w:ind w:left="0" w:firstLine="0"/>
              <w:jc w:val="both"/>
              <w:rPr>
                <w:rFonts w:ascii="Times New Roman" w:hAnsi="Times New Roman" w:cs="Times New Roman"/>
                <w:b/>
              </w:rPr>
            </w:pPr>
          </w:p>
        </w:tc>
        <w:tc>
          <w:tcPr>
            <w:tcW w:w="1418" w:type="dxa"/>
            <w:vAlign w:val="center"/>
          </w:tcPr>
          <w:p w14:paraId="218FC77C" w14:textId="77777777" w:rsidR="00F0743A" w:rsidRPr="000212FA" w:rsidRDefault="00F0743A" w:rsidP="003318FC">
            <w:pPr>
              <w:spacing w:after="0" w:line="240" w:lineRule="auto"/>
              <w:jc w:val="both"/>
              <w:rPr>
                <w:rFonts w:ascii="Times New Roman" w:hAnsi="Times New Roman" w:cs="Times New Roman"/>
              </w:rPr>
            </w:pPr>
            <w:r w:rsidRPr="000212FA">
              <w:rPr>
                <w:rFonts w:ascii="Times New Roman" w:hAnsi="Times New Roman" w:cs="Times New Roman"/>
              </w:rPr>
              <w:t>Art. 13 pkt 8 projektu:</w:t>
            </w:r>
          </w:p>
          <w:p w14:paraId="50859AB7" w14:textId="540D0A7A" w:rsidR="00F0743A" w:rsidRPr="000212FA" w:rsidRDefault="00F0743A" w:rsidP="003318FC">
            <w:pPr>
              <w:spacing w:after="0" w:line="240" w:lineRule="auto"/>
              <w:jc w:val="both"/>
              <w:rPr>
                <w:rFonts w:ascii="Times New Roman" w:hAnsi="Times New Roman" w:cs="Times New Roman"/>
              </w:rPr>
            </w:pPr>
            <w:r w:rsidRPr="000212FA">
              <w:rPr>
                <w:rFonts w:ascii="Times New Roman" w:hAnsi="Times New Roman" w:cs="Times New Roman"/>
              </w:rPr>
              <w:t>w zakresie art. 68e ust. 1 pkt 3 lit. b</w:t>
            </w:r>
            <w:r w:rsidR="00046DCD" w:rsidRPr="000212FA">
              <w:rPr>
                <w:rFonts w:ascii="Times New Roman" w:hAnsi="Times New Roman" w:cs="Times New Roman"/>
              </w:rPr>
              <w:t xml:space="preserve"> ustawy zasiłkowej</w:t>
            </w:r>
          </w:p>
        </w:tc>
        <w:tc>
          <w:tcPr>
            <w:tcW w:w="1559" w:type="dxa"/>
            <w:vAlign w:val="center"/>
          </w:tcPr>
          <w:p w14:paraId="308D4F40" w14:textId="1B96911E" w:rsidR="00F0743A" w:rsidRPr="000212FA" w:rsidRDefault="00046DCD" w:rsidP="003318FC">
            <w:pPr>
              <w:spacing w:after="0" w:line="240" w:lineRule="auto"/>
              <w:jc w:val="both"/>
              <w:rPr>
                <w:rFonts w:ascii="Times New Roman" w:hAnsi="Times New Roman" w:cs="Times New Roman"/>
              </w:rPr>
            </w:pPr>
            <w:r w:rsidRPr="000212FA">
              <w:rPr>
                <w:rFonts w:ascii="Times New Roman" w:hAnsi="Times New Roman" w:cs="Times New Roman"/>
              </w:rPr>
              <w:t>MSWiA</w:t>
            </w:r>
          </w:p>
        </w:tc>
        <w:tc>
          <w:tcPr>
            <w:tcW w:w="4536" w:type="dxa"/>
          </w:tcPr>
          <w:p w14:paraId="38260BE3" w14:textId="5EEAF659" w:rsidR="00F0743A" w:rsidRPr="000212FA" w:rsidRDefault="00046DCD" w:rsidP="003318FC">
            <w:pPr>
              <w:spacing w:after="0" w:line="240" w:lineRule="auto"/>
              <w:jc w:val="both"/>
              <w:rPr>
                <w:rFonts w:ascii="Times New Roman" w:hAnsi="Times New Roman" w:cs="Times New Roman"/>
              </w:rPr>
            </w:pPr>
            <w:r w:rsidRPr="000212FA">
              <w:rPr>
                <w:rFonts w:ascii="Times New Roman" w:hAnsi="Times New Roman" w:cs="Times New Roman"/>
              </w:rPr>
              <w:t xml:space="preserve">Odnośnie do dodawanego art. 68e ust. 1 pkt 3 lit. b określającego, że ustalenia kontroli opisuje się w protokole kontroli, który zawiera dane osoby kontrolowanej, w tym numer PESEL – poddaję pod rozwagę doprecyzowanie sytuacji braku posiadania numeru PESEL przez osobę kontrolowaną. Zasadne wydaje się uzupełnienie ww. przepisu analogicznie jak w projektowanym art. 1 pkt 7 w zakresie dodawanego w ustawie z </w:t>
            </w:r>
            <w:r w:rsidRPr="000212FA">
              <w:rPr>
                <w:rFonts w:ascii="Times New Roman" w:hAnsi="Times New Roman" w:cs="Times New Roman"/>
              </w:rPr>
              <w:lastRenderedPageBreak/>
              <w:t>dnia 13 października 1998 r. o systemie ubezpieczeń społecznych art. 85c ust. 2 pkt 4, tj. „numer PESEL, a w razie gdy nie nadano numeru PESEL – datę urodzenia, rodzaj, serię i numer dokumentu tożsamości”.</w:t>
            </w:r>
          </w:p>
        </w:tc>
        <w:tc>
          <w:tcPr>
            <w:tcW w:w="3402" w:type="dxa"/>
            <w:vAlign w:val="center"/>
          </w:tcPr>
          <w:p w14:paraId="26A2E1CD" w14:textId="77777777" w:rsidR="00F0743A" w:rsidRPr="000212FA" w:rsidRDefault="00F0743A" w:rsidP="003318FC">
            <w:pPr>
              <w:spacing w:after="0" w:line="240" w:lineRule="auto"/>
              <w:jc w:val="both"/>
              <w:rPr>
                <w:rFonts w:ascii="Times New Roman" w:hAnsi="Times New Roman" w:cs="Times New Roman"/>
              </w:rPr>
            </w:pPr>
          </w:p>
        </w:tc>
        <w:tc>
          <w:tcPr>
            <w:tcW w:w="4253" w:type="dxa"/>
          </w:tcPr>
          <w:p w14:paraId="0BF58740" w14:textId="77777777" w:rsidR="00A224FB" w:rsidRPr="000212FA" w:rsidRDefault="00A224FB" w:rsidP="003318FC">
            <w:pPr>
              <w:spacing w:after="0" w:line="240" w:lineRule="auto"/>
              <w:jc w:val="both"/>
              <w:rPr>
                <w:rFonts w:ascii="Times New Roman" w:hAnsi="Times New Roman" w:cs="Times New Roman"/>
                <w:b/>
                <w:bCs/>
              </w:rPr>
            </w:pPr>
            <w:r w:rsidRPr="000212FA">
              <w:rPr>
                <w:rFonts w:ascii="Times New Roman" w:hAnsi="Times New Roman" w:cs="Times New Roman"/>
                <w:b/>
                <w:bCs/>
              </w:rPr>
              <w:t>Uwaga uwzględniona.</w:t>
            </w:r>
          </w:p>
          <w:p w14:paraId="6552526D" w14:textId="77777777" w:rsidR="00A224FB" w:rsidRPr="000212FA" w:rsidRDefault="00A224FB" w:rsidP="003318FC">
            <w:pPr>
              <w:spacing w:after="0" w:line="240" w:lineRule="auto"/>
              <w:jc w:val="both"/>
              <w:rPr>
                <w:rFonts w:ascii="Times New Roman" w:hAnsi="Times New Roman" w:cs="Times New Roman"/>
              </w:rPr>
            </w:pPr>
          </w:p>
          <w:p w14:paraId="223117EF" w14:textId="71E27027" w:rsidR="00A224FB" w:rsidRPr="000212FA" w:rsidRDefault="00A224FB" w:rsidP="003318FC">
            <w:pPr>
              <w:spacing w:after="0" w:line="240" w:lineRule="auto"/>
              <w:jc w:val="both"/>
              <w:rPr>
                <w:rFonts w:ascii="Times New Roman" w:hAnsi="Times New Roman" w:cs="Times New Roman"/>
              </w:rPr>
            </w:pPr>
            <w:r w:rsidRPr="000212FA">
              <w:rPr>
                <w:rFonts w:ascii="Times New Roman" w:hAnsi="Times New Roman" w:cs="Times New Roman"/>
              </w:rPr>
              <w:t>Brzmienie art. 13 pkt 8 projektu ustawy zosta</w:t>
            </w:r>
            <w:r w:rsidR="00FD6927" w:rsidRPr="000212FA">
              <w:rPr>
                <w:rFonts w:ascii="Times New Roman" w:hAnsi="Times New Roman" w:cs="Times New Roman"/>
              </w:rPr>
              <w:t>ło</w:t>
            </w:r>
            <w:r w:rsidRPr="000212FA">
              <w:rPr>
                <w:rFonts w:ascii="Times New Roman" w:hAnsi="Times New Roman" w:cs="Times New Roman"/>
              </w:rPr>
              <w:t xml:space="preserve"> zmienione adekwatnie do zgłoszonej uwagi.</w:t>
            </w:r>
          </w:p>
          <w:p w14:paraId="51BD433F" w14:textId="7A6EE935" w:rsidR="00F0743A" w:rsidRPr="000212FA" w:rsidRDefault="00F0743A" w:rsidP="003318FC">
            <w:pPr>
              <w:spacing w:after="0" w:line="240" w:lineRule="auto"/>
              <w:jc w:val="both"/>
              <w:rPr>
                <w:rFonts w:ascii="Times New Roman" w:hAnsi="Times New Roman" w:cs="Times New Roman"/>
              </w:rPr>
            </w:pPr>
          </w:p>
        </w:tc>
      </w:tr>
      <w:tr w:rsidR="00F0743A" w:rsidRPr="000212FA" w14:paraId="5A95BD92" w14:textId="0B5AEE57" w:rsidTr="003318FC">
        <w:tc>
          <w:tcPr>
            <w:tcW w:w="567" w:type="dxa"/>
          </w:tcPr>
          <w:p w14:paraId="53EC0AC2" w14:textId="77777777" w:rsidR="00F0743A" w:rsidRPr="000212FA" w:rsidRDefault="00F0743A" w:rsidP="003318FC">
            <w:pPr>
              <w:pStyle w:val="Akapitzlist"/>
              <w:numPr>
                <w:ilvl w:val="0"/>
                <w:numId w:val="1"/>
              </w:numPr>
              <w:spacing w:after="0" w:line="240" w:lineRule="auto"/>
              <w:ind w:left="0" w:firstLine="0"/>
              <w:jc w:val="both"/>
              <w:rPr>
                <w:rFonts w:ascii="Times New Roman" w:hAnsi="Times New Roman" w:cs="Times New Roman"/>
                <w:b/>
              </w:rPr>
            </w:pPr>
          </w:p>
        </w:tc>
        <w:tc>
          <w:tcPr>
            <w:tcW w:w="1418" w:type="dxa"/>
          </w:tcPr>
          <w:p w14:paraId="2165A432" w14:textId="3C6D9137" w:rsidR="00F0743A" w:rsidRPr="000212FA" w:rsidRDefault="00F0743A" w:rsidP="003318FC">
            <w:pPr>
              <w:spacing w:after="0" w:line="240" w:lineRule="auto"/>
              <w:jc w:val="both"/>
              <w:rPr>
                <w:rFonts w:ascii="Times New Roman" w:hAnsi="Times New Roman" w:cs="Times New Roman"/>
              </w:rPr>
            </w:pPr>
            <w:r w:rsidRPr="000212FA">
              <w:rPr>
                <w:rFonts w:ascii="Times New Roman" w:hAnsi="Times New Roman" w:cs="Times New Roman"/>
              </w:rPr>
              <w:t>Art. 21 pkt 2 projektu w zakresie art. 127</w:t>
            </w:r>
            <w:r w:rsidR="006A0D00" w:rsidRPr="000212FA">
              <w:rPr>
                <w:rFonts w:ascii="Times New Roman" w:hAnsi="Times New Roman" w:cs="Times New Roman"/>
              </w:rPr>
              <w:t xml:space="preserve"> </w:t>
            </w:r>
            <w:r w:rsidRPr="000212FA">
              <w:rPr>
                <w:rFonts w:ascii="Times New Roman" w:hAnsi="Times New Roman" w:cs="Times New Roman"/>
              </w:rPr>
              <w:t>§</w:t>
            </w:r>
            <w:r w:rsidR="006A0D00" w:rsidRPr="000212FA">
              <w:rPr>
                <w:rFonts w:ascii="Times New Roman" w:hAnsi="Times New Roman" w:cs="Times New Roman"/>
              </w:rPr>
              <w:t xml:space="preserve"> </w:t>
            </w:r>
            <w:r w:rsidRPr="000212FA">
              <w:rPr>
                <w:rFonts w:ascii="Times New Roman" w:hAnsi="Times New Roman" w:cs="Times New Roman"/>
              </w:rPr>
              <w:t>1a</w:t>
            </w:r>
            <w:r w:rsidR="006A0D00" w:rsidRPr="000212FA">
              <w:rPr>
                <w:rFonts w:ascii="Times New Roman" w:hAnsi="Times New Roman" w:cs="Times New Roman"/>
              </w:rPr>
              <w:t xml:space="preserve"> ustawy</w:t>
            </w:r>
            <w:r w:rsidRPr="000212FA">
              <w:rPr>
                <w:rFonts w:ascii="Times New Roman" w:hAnsi="Times New Roman" w:cs="Times New Roman"/>
              </w:rPr>
              <w:t xml:space="preserve"> </w:t>
            </w:r>
            <w:r w:rsidR="006A0D00" w:rsidRPr="000212FA">
              <w:rPr>
                <w:rFonts w:ascii="Times New Roman" w:hAnsi="Times New Roman" w:cs="Times New Roman"/>
              </w:rPr>
              <w:t>–</w:t>
            </w:r>
            <w:r w:rsidRPr="000212FA">
              <w:rPr>
                <w:rFonts w:ascii="Times New Roman" w:hAnsi="Times New Roman" w:cs="Times New Roman"/>
              </w:rPr>
              <w:t>Praw</w:t>
            </w:r>
            <w:r w:rsidR="006A0D00" w:rsidRPr="000212FA">
              <w:rPr>
                <w:rFonts w:ascii="Times New Roman" w:hAnsi="Times New Roman" w:cs="Times New Roman"/>
              </w:rPr>
              <w:t>o</w:t>
            </w:r>
            <w:r w:rsidRPr="000212FA">
              <w:rPr>
                <w:rFonts w:ascii="Times New Roman" w:hAnsi="Times New Roman" w:cs="Times New Roman"/>
              </w:rPr>
              <w:t xml:space="preserve"> o prokuraturze</w:t>
            </w:r>
          </w:p>
        </w:tc>
        <w:tc>
          <w:tcPr>
            <w:tcW w:w="1559" w:type="dxa"/>
          </w:tcPr>
          <w:p w14:paraId="5358E555" w14:textId="4511A0B1" w:rsidR="00F0743A" w:rsidRPr="000212FA" w:rsidRDefault="00F0743A" w:rsidP="003318FC">
            <w:pPr>
              <w:spacing w:after="0" w:line="240" w:lineRule="auto"/>
              <w:jc w:val="both"/>
              <w:rPr>
                <w:rFonts w:ascii="Times New Roman" w:hAnsi="Times New Roman" w:cs="Times New Roman"/>
              </w:rPr>
            </w:pPr>
            <w:r w:rsidRPr="000212FA">
              <w:rPr>
                <w:rFonts w:ascii="Times New Roman" w:hAnsi="Times New Roman" w:cs="Times New Roman"/>
              </w:rPr>
              <w:t>MS</w:t>
            </w:r>
          </w:p>
        </w:tc>
        <w:tc>
          <w:tcPr>
            <w:tcW w:w="4536" w:type="dxa"/>
          </w:tcPr>
          <w:p w14:paraId="1462DF8C" w14:textId="4896B145" w:rsidR="00F0743A" w:rsidRPr="000212FA" w:rsidRDefault="006A0D00" w:rsidP="003318FC">
            <w:pPr>
              <w:spacing w:after="0" w:line="240" w:lineRule="auto"/>
              <w:jc w:val="both"/>
              <w:rPr>
                <w:rFonts w:ascii="Times New Roman" w:hAnsi="Times New Roman" w:cs="Times New Roman"/>
              </w:rPr>
            </w:pPr>
            <w:r w:rsidRPr="000212FA">
              <w:rPr>
                <w:rFonts w:ascii="Times New Roman" w:hAnsi="Times New Roman" w:cs="Times New Roman"/>
              </w:rPr>
              <w:t xml:space="preserve">W myśl art. 127 § 1 ustawy z dnia 28 stycznia 2016 roku – Prawo o prokuraturze (Dz. U. z 2024 r. poz. 390) w zw. z art. 70 § 1 ustawy z dnia 27 lipca 2001 r. </w:t>
            </w:r>
            <w:r w:rsidR="000F074A" w:rsidRPr="000212FA">
              <w:rPr>
                <w:rFonts w:ascii="Times New Roman" w:hAnsi="Times New Roman" w:cs="Times New Roman"/>
              </w:rPr>
              <w:t>–</w:t>
            </w:r>
            <w:r w:rsidRPr="000212FA">
              <w:rPr>
                <w:rFonts w:ascii="Times New Roman" w:hAnsi="Times New Roman" w:cs="Times New Roman"/>
              </w:rPr>
              <w:t xml:space="preserve"> Prawo o ustroju sądów powszechnych (Dz. U. z 2024 r. poz. 334), prokuratora przenosi sią w stan spoczynku na jego wniosek albo na wniosek właściwego przełożonego, jeśli z powodu choroby lub utraty sił uznany został przez lekarza orzecznika Zakładu Ubezpieczeń Społecznych za trwale niezdolnego do pełnienia obowiązków prokuratora. Od orzeczenia lekarza orzecznika zainteresowanemu prokuratorowi lub przełożonemu przysługuje sprzeciw do komisji lekarskiej Zakładu Ubezpieczeń Społecznych. W ugruntowanym orzecznictwie Sądu Najwyższego podkreśla się, że orzeczenie stwierdzające niezdolność jest podstawowym dokumentem dla podjęcia przez Prokuratora Generalnego decyzji o ewentualnym przeniesieniu prokuratora w stan spoczynku z powodu choroby lub utraty sił. W aktualnym stanie prawnym, zgodnie z art. 127 § 1a Prawa o prokuraturze, przeniesienie prokuratora w stan spoczynku z powodu choroby lub utraty sił następuje z dniem uprawomocnienia sią orzeczenia wydanego prze lekarza orzecznika lub komisją lekarską Zakładu Ubezpieczeń Społecznych stwierdzającego trwałą niezdolność do pełnienia obowiązków prokuratora. Data przeniesienia prokuratora w stan spoczynku </w:t>
            </w:r>
            <w:r w:rsidRPr="000212FA">
              <w:rPr>
                <w:rFonts w:ascii="Times New Roman" w:hAnsi="Times New Roman" w:cs="Times New Roman"/>
              </w:rPr>
              <w:lastRenderedPageBreak/>
              <w:t>została jasno określona przez ustawodawcą. Regulacji tej nie ma jednak w projektowanym brzmieniu art. 127 § 1a. Brak określenia tej kwestii, przy niejednoznacznym brzmieniu przepisów, spowoduje wątpliwości co do daty z jaką prokurator winien zostać przeniesiony w stan spoczynku. Należy zatem uzupełnić projektowany przepis, tak aby w dalszym ciągu jasno określał, że datą przeniesienia prokuratora w stan spoczynku, jest data uprawomocnienia się orzeczenia lekarza orzecznika ZUS.</w:t>
            </w:r>
          </w:p>
        </w:tc>
        <w:tc>
          <w:tcPr>
            <w:tcW w:w="3402" w:type="dxa"/>
          </w:tcPr>
          <w:p w14:paraId="3026C664" w14:textId="0964568D" w:rsidR="00F0743A" w:rsidRPr="000212FA" w:rsidRDefault="00F0743A" w:rsidP="003318FC">
            <w:pPr>
              <w:spacing w:after="0" w:line="240" w:lineRule="auto"/>
              <w:jc w:val="both"/>
              <w:rPr>
                <w:rFonts w:ascii="Times New Roman" w:hAnsi="Times New Roman" w:cs="Times New Roman"/>
              </w:rPr>
            </w:pPr>
          </w:p>
        </w:tc>
        <w:tc>
          <w:tcPr>
            <w:tcW w:w="4253" w:type="dxa"/>
          </w:tcPr>
          <w:p w14:paraId="1CE3265A" w14:textId="77777777" w:rsidR="00AF2DEB" w:rsidRPr="000212FA" w:rsidRDefault="00AF2DEB" w:rsidP="003318FC">
            <w:pPr>
              <w:spacing w:after="0" w:line="240" w:lineRule="auto"/>
              <w:jc w:val="both"/>
              <w:rPr>
                <w:rFonts w:ascii="Times New Roman" w:hAnsi="Times New Roman" w:cs="Times New Roman"/>
                <w:b/>
                <w:bCs/>
              </w:rPr>
            </w:pPr>
            <w:r w:rsidRPr="000212FA">
              <w:rPr>
                <w:rFonts w:ascii="Times New Roman" w:hAnsi="Times New Roman" w:cs="Times New Roman"/>
                <w:b/>
                <w:bCs/>
              </w:rPr>
              <w:t>Uwaga uwzględniona.</w:t>
            </w:r>
          </w:p>
          <w:p w14:paraId="5142FC4C" w14:textId="77777777" w:rsidR="00AF2DEB" w:rsidRPr="000212FA" w:rsidRDefault="00AF2DEB" w:rsidP="003318FC">
            <w:pPr>
              <w:spacing w:after="0" w:line="240" w:lineRule="auto"/>
              <w:jc w:val="both"/>
              <w:rPr>
                <w:rFonts w:ascii="Times New Roman" w:hAnsi="Times New Roman" w:cs="Times New Roman"/>
              </w:rPr>
            </w:pPr>
          </w:p>
          <w:p w14:paraId="42147C65" w14:textId="51F34D0B" w:rsidR="00AF2DEB" w:rsidRPr="000212FA" w:rsidRDefault="00AF2DEB" w:rsidP="003318FC">
            <w:pPr>
              <w:spacing w:after="0" w:line="240" w:lineRule="auto"/>
              <w:jc w:val="both"/>
              <w:rPr>
                <w:rFonts w:ascii="Times New Roman" w:hAnsi="Times New Roman" w:cs="Times New Roman"/>
              </w:rPr>
            </w:pPr>
            <w:r w:rsidRPr="000212FA">
              <w:rPr>
                <w:rFonts w:ascii="Times New Roman" w:hAnsi="Times New Roman" w:cs="Times New Roman"/>
              </w:rPr>
              <w:t>Brzmienie art. 21 pkt 2 projektu ustawy zosta</w:t>
            </w:r>
            <w:r w:rsidR="004C039B" w:rsidRPr="000212FA">
              <w:rPr>
                <w:rFonts w:ascii="Times New Roman" w:hAnsi="Times New Roman" w:cs="Times New Roman"/>
              </w:rPr>
              <w:t>ło</w:t>
            </w:r>
            <w:r w:rsidRPr="000212FA">
              <w:rPr>
                <w:rFonts w:ascii="Times New Roman" w:hAnsi="Times New Roman" w:cs="Times New Roman"/>
              </w:rPr>
              <w:t xml:space="preserve"> zmienione adekwatnie do zgłoszonej uwagi</w:t>
            </w:r>
            <w:r w:rsidR="00CB6A4F" w:rsidRPr="000212FA">
              <w:rPr>
                <w:rFonts w:ascii="Times New Roman" w:hAnsi="Times New Roman" w:cs="Times New Roman"/>
              </w:rPr>
              <w:t xml:space="preserve"> (oraz do uwagi zgłoszonej przez </w:t>
            </w:r>
            <w:r w:rsidR="005B4A9A" w:rsidRPr="000212FA">
              <w:rPr>
                <w:rFonts w:ascii="Times New Roman" w:hAnsi="Times New Roman" w:cs="Times New Roman"/>
              </w:rPr>
              <w:t>ZUS</w:t>
            </w:r>
            <w:r w:rsidR="00CB6A4F" w:rsidRPr="000212FA">
              <w:rPr>
                <w:rFonts w:ascii="Times New Roman" w:hAnsi="Times New Roman" w:cs="Times New Roman"/>
              </w:rPr>
              <w:t>).</w:t>
            </w:r>
          </w:p>
          <w:p w14:paraId="3A76243F" w14:textId="7EDEBD63" w:rsidR="00F0743A" w:rsidRPr="000212FA" w:rsidRDefault="00F0743A" w:rsidP="003318FC">
            <w:pPr>
              <w:spacing w:after="0" w:line="240" w:lineRule="auto"/>
              <w:jc w:val="both"/>
              <w:rPr>
                <w:rFonts w:ascii="Times New Roman" w:hAnsi="Times New Roman" w:cs="Times New Roman"/>
              </w:rPr>
            </w:pPr>
          </w:p>
        </w:tc>
      </w:tr>
      <w:tr w:rsidR="00F0743A" w:rsidRPr="000212FA" w14:paraId="667923B1" w14:textId="77777777" w:rsidTr="003318FC">
        <w:tc>
          <w:tcPr>
            <w:tcW w:w="567" w:type="dxa"/>
          </w:tcPr>
          <w:p w14:paraId="46397FA7" w14:textId="77777777" w:rsidR="00F0743A" w:rsidRPr="000212FA" w:rsidRDefault="00F0743A" w:rsidP="003318FC">
            <w:pPr>
              <w:pStyle w:val="Akapitzlist"/>
              <w:numPr>
                <w:ilvl w:val="0"/>
                <w:numId w:val="1"/>
              </w:numPr>
              <w:spacing w:after="0" w:line="240" w:lineRule="auto"/>
              <w:ind w:left="0" w:firstLine="0"/>
              <w:jc w:val="both"/>
              <w:rPr>
                <w:rFonts w:ascii="Times New Roman" w:hAnsi="Times New Roman" w:cs="Times New Roman"/>
                <w:b/>
              </w:rPr>
            </w:pPr>
          </w:p>
        </w:tc>
        <w:tc>
          <w:tcPr>
            <w:tcW w:w="1418" w:type="dxa"/>
          </w:tcPr>
          <w:p w14:paraId="26E301A3" w14:textId="3F45C465" w:rsidR="00F0743A" w:rsidRPr="000212FA" w:rsidRDefault="00F0743A" w:rsidP="003318FC">
            <w:pPr>
              <w:spacing w:after="0" w:line="240" w:lineRule="auto"/>
              <w:jc w:val="both"/>
              <w:rPr>
                <w:rFonts w:ascii="Times New Roman" w:hAnsi="Times New Roman" w:cs="Times New Roman"/>
              </w:rPr>
            </w:pPr>
            <w:r w:rsidRPr="000212FA">
              <w:rPr>
                <w:rFonts w:ascii="Times New Roman" w:hAnsi="Times New Roman" w:cs="Times New Roman"/>
              </w:rPr>
              <w:t>Art. 26</w:t>
            </w:r>
          </w:p>
        </w:tc>
        <w:tc>
          <w:tcPr>
            <w:tcW w:w="1559" w:type="dxa"/>
          </w:tcPr>
          <w:p w14:paraId="6DC28721" w14:textId="446BF1A4" w:rsidR="00F0743A" w:rsidRPr="000212FA" w:rsidRDefault="00F0743A" w:rsidP="003318FC">
            <w:pPr>
              <w:spacing w:after="0" w:line="240" w:lineRule="auto"/>
              <w:jc w:val="both"/>
              <w:rPr>
                <w:rFonts w:ascii="Times New Roman" w:hAnsi="Times New Roman" w:cs="Times New Roman"/>
              </w:rPr>
            </w:pPr>
            <w:proofErr w:type="spellStart"/>
            <w:r w:rsidRPr="000212FA">
              <w:rPr>
                <w:rFonts w:ascii="Times New Roman" w:hAnsi="Times New Roman" w:cs="Times New Roman"/>
              </w:rPr>
              <w:t>MRiT</w:t>
            </w:r>
            <w:proofErr w:type="spellEnd"/>
          </w:p>
        </w:tc>
        <w:tc>
          <w:tcPr>
            <w:tcW w:w="4536" w:type="dxa"/>
          </w:tcPr>
          <w:p w14:paraId="5AC6F0AD" w14:textId="31EB3924" w:rsidR="00F0743A" w:rsidRPr="000212FA" w:rsidRDefault="00EA5CFF" w:rsidP="003318FC">
            <w:pPr>
              <w:spacing w:after="0" w:line="240" w:lineRule="auto"/>
              <w:jc w:val="both"/>
              <w:rPr>
                <w:rFonts w:ascii="Times New Roman" w:hAnsi="Times New Roman" w:cs="Times New Roman"/>
              </w:rPr>
            </w:pPr>
            <w:r w:rsidRPr="000212FA">
              <w:rPr>
                <w:rFonts w:ascii="Times New Roman" w:hAnsi="Times New Roman" w:cs="Times New Roman"/>
              </w:rPr>
              <w:t>Uwaga opisana w pkt</w:t>
            </w:r>
            <w:r w:rsidR="00447B3D" w:rsidRPr="000212FA">
              <w:rPr>
                <w:rFonts w:ascii="Times New Roman" w:hAnsi="Times New Roman" w:cs="Times New Roman"/>
              </w:rPr>
              <w:t xml:space="preserve"> </w:t>
            </w:r>
            <w:r w:rsidR="0088551D" w:rsidRPr="000212FA">
              <w:rPr>
                <w:rFonts w:ascii="Times New Roman" w:hAnsi="Times New Roman" w:cs="Times New Roman"/>
              </w:rPr>
              <w:t>9</w:t>
            </w:r>
            <w:r w:rsidRPr="000212FA">
              <w:rPr>
                <w:rFonts w:ascii="Times New Roman" w:hAnsi="Times New Roman" w:cs="Times New Roman"/>
              </w:rPr>
              <w:t xml:space="preserve"> tabeli. </w:t>
            </w:r>
          </w:p>
        </w:tc>
        <w:tc>
          <w:tcPr>
            <w:tcW w:w="3402" w:type="dxa"/>
          </w:tcPr>
          <w:p w14:paraId="1D0C0813" w14:textId="304008DE" w:rsidR="00F0743A" w:rsidRPr="000212FA" w:rsidRDefault="00F0743A" w:rsidP="003318FC">
            <w:pPr>
              <w:spacing w:after="0" w:line="240" w:lineRule="auto"/>
              <w:jc w:val="both"/>
              <w:rPr>
                <w:rFonts w:ascii="Times New Roman" w:hAnsi="Times New Roman" w:cs="Times New Roman"/>
                <w:b/>
              </w:rPr>
            </w:pPr>
          </w:p>
        </w:tc>
        <w:tc>
          <w:tcPr>
            <w:tcW w:w="4253" w:type="dxa"/>
          </w:tcPr>
          <w:p w14:paraId="719E719A" w14:textId="2623DA38" w:rsidR="00F0743A" w:rsidRPr="000212FA" w:rsidRDefault="00E60663" w:rsidP="003318FC">
            <w:pPr>
              <w:spacing w:after="0" w:line="240" w:lineRule="auto"/>
              <w:jc w:val="both"/>
              <w:rPr>
                <w:rFonts w:ascii="Times New Roman" w:hAnsi="Times New Roman" w:cs="Times New Roman"/>
              </w:rPr>
            </w:pPr>
            <w:r w:rsidRPr="000212FA">
              <w:rPr>
                <w:rFonts w:ascii="Times New Roman" w:hAnsi="Times New Roman" w:cs="Times New Roman"/>
              </w:rPr>
              <w:t xml:space="preserve">Patrz </w:t>
            </w:r>
            <w:r w:rsidR="004422EC" w:rsidRPr="000212FA">
              <w:rPr>
                <w:rFonts w:ascii="Times New Roman" w:hAnsi="Times New Roman" w:cs="Times New Roman"/>
              </w:rPr>
              <w:t>Lp.</w:t>
            </w:r>
            <w:r w:rsidRPr="000212FA">
              <w:rPr>
                <w:rFonts w:ascii="Times New Roman" w:hAnsi="Times New Roman" w:cs="Times New Roman"/>
              </w:rPr>
              <w:t xml:space="preserve"> 9</w:t>
            </w:r>
          </w:p>
        </w:tc>
      </w:tr>
      <w:tr w:rsidR="00F0743A" w:rsidRPr="000212FA" w14:paraId="640D93E0" w14:textId="77777777" w:rsidTr="003318FC">
        <w:tc>
          <w:tcPr>
            <w:tcW w:w="567" w:type="dxa"/>
          </w:tcPr>
          <w:p w14:paraId="39AB329B" w14:textId="77777777" w:rsidR="00F0743A" w:rsidRPr="000212FA" w:rsidRDefault="00F0743A" w:rsidP="003318FC">
            <w:pPr>
              <w:pStyle w:val="Akapitzlist"/>
              <w:numPr>
                <w:ilvl w:val="0"/>
                <w:numId w:val="1"/>
              </w:numPr>
              <w:spacing w:after="0" w:line="240" w:lineRule="auto"/>
              <w:ind w:left="0" w:firstLine="0"/>
              <w:jc w:val="both"/>
              <w:rPr>
                <w:rFonts w:ascii="Times New Roman" w:hAnsi="Times New Roman" w:cs="Times New Roman"/>
                <w:b/>
              </w:rPr>
            </w:pPr>
          </w:p>
        </w:tc>
        <w:tc>
          <w:tcPr>
            <w:tcW w:w="1418" w:type="dxa"/>
            <w:vAlign w:val="center"/>
          </w:tcPr>
          <w:p w14:paraId="77C14809" w14:textId="5271D1F2" w:rsidR="00F0743A" w:rsidRPr="000212FA" w:rsidRDefault="00F0743A" w:rsidP="003318FC">
            <w:pPr>
              <w:spacing w:after="0" w:line="240" w:lineRule="auto"/>
              <w:jc w:val="both"/>
              <w:rPr>
                <w:rFonts w:ascii="Times New Roman" w:hAnsi="Times New Roman" w:cs="Times New Roman"/>
              </w:rPr>
            </w:pPr>
            <w:r w:rsidRPr="000212FA">
              <w:rPr>
                <w:rFonts w:ascii="Times New Roman" w:hAnsi="Times New Roman" w:cs="Times New Roman"/>
              </w:rPr>
              <w:t>Art. 26</w:t>
            </w:r>
          </w:p>
        </w:tc>
        <w:tc>
          <w:tcPr>
            <w:tcW w:w="1559" w:type="dxa"/>
            <w:vAlign w:val="center"/>
          </w:tcPr>
          <w:p w14:paraId="4CF57868" w14:textId="07A8A0D0" w:rsidR="00F0743A" w:rsidRPr="000212FA" w:rsidRDefault="00F0743A" w:rsidP="003318FC">
            <w:pPr>
              <w:spacing w:after="0" w:line="240" w:lineRule="auto"/>
              <w:jc w:val="both"/>
              <w:rPr>
                <w:rFonts w:ascii="Times New Roman" w:hAnsi="Times New Roman" w:cs="Times New Roman"/>
              </w:rPr>
            </w:pPr>
            <w:r w:rsidRPr="000212FA">
              <w:rPr>
                <w:rFonts w:ascii="Times New Roman" w:hAnsi="Times New Roman" w:cs="Times New Roman"/>
              </w:rPr>
              <w:t>RCL</w:t>
            </w:r>
          </w:p>
        </w:tc>
        <w:tc>
          <w:tcPr>
            <w:tcW w:w="4536" w:type="dxa"/>
          </w:tcPr>
          <w:p w14:paraId="0019006E" w14:textId="439B3DBC" w:rsidR="00F0743A" w:rsidRPr="000212FA" w:rsidRDefault="00961B10" w:rsidP="003318FC">
            <w:pPr>
              <w:spacing w:after="0" w:line="240" w:lineRule="auto"/>
              <w:jc w:val="both"/>
              <w:rPr>
                <w:rFonts w:ascii="Times New Roman" w:hAnsi="Times New Roman" w:cs="Times New Roman"/>
              </w:rPr>
            </w:pPr>
            <w:r w:rsidRPr="000212FA">
              <w:rPr>
                <w:rFonts w:ascii="Times New Roman" w:hAnsi="Times New Roman" w:cs="Times New Roman"/>
              </w:rPr>
              <w:t xml:space="preserve">Budzi zastrzeżenia przepis art. 26 projektu, dotyczący zamówień na usługi lub dostawy udzielane przez Zakład w związku z przygotowaniem systemów teleinformatycznych Zakładu do zmian, które mają nastąpić w realizacji jego zadań. Zgodnie z utrwalonym orzecznictwem Trybunału Sprawiedliwości UE wszelkie wyjątki od stosowania przepisów dyrektyw dotyczących zamówień publicznych są nie tylko wyczerpująco określone w tych dyrektywach, ale również podlegają wykładni zawężającej (por. wyrok w sprawie C-107/98 </w:t>
            </w:r>
            <w:proofErr w:type="spellStart"/>
            <w:r w:rsidRPr="000212FA">
              <w:rPr>
                <w:rFonts w:ascii="Times New Roman" w:hAnsi="Times New Roman" w:cs="Times New Roman"/>
                <w:i/>
                <w:iCs/>
              </w:rPr>
              <w:t>Teckal</w:t>
            </w:r>
            <w:proofErr w:type="spellEnd"/>
            <w:r w:rsidRPr="000212FA">
              <w:rPr>
                <w:rFonts w:ascii="Times New Roman" w:hAnsi="Times New Roman" w:cs="Times New Roman"/>
              </w:rPr>
              <w:t xml:space="preserve">, pkt 43-44; wyrok w sprawie C- 385/02 </w:t>
            </w:r>
            <w:r w:rsidRPr="000212FA">
              <w:rPr>
                <w:rFonts w:ascii="Times New Roman" w:hAnsi="Times New Roman" w:cs="Times New Roman"/>
                <w:i/>
                <w:iCs/>
              </w:rPr>
              <w:t>Komisja/Włochy</w:t>
            </w:r>
            <w:r w:rsidRPr="000212FA">
              <w:rPr>
                <w:rFonts w:ascii="Times New Roman" w:hAnsi="Times New Roman" w:cs="Times New Roman"/>
              </w:rPr>
              <w:t xml:space="preserve">, pkt 19). Projektodawca nie wykazał jednak, aby projektowane wyłączenie mieściło się w zakresie </w:t>
            </w:r>
            <w:proofErr w:type="spellStart"/>
            <w:r w:rsidRPr="000212FA">
              <w:rPr>
                <w:rFonts w:ascii="Times New Roman" w:hAnsi="Times New Roman" w:cs="Times New Roman"/>
              </w:rPr>
              <w:t>wyłączeń</w:t>
            </w:r>
            <w:proofErr w:type="spellEnd"/>
            <w:r w:rsidRPr="000212FA">
              <w:rPr>
                <w:rFonts w:ascii="Times New Roman" w:hAnsi="Times New Roman" w:cs="Times New Roman"/>
              </w:rPr>
              <w:t xml:space="preserve"> dopuszczalnych na podstawie dyrektywy. Projektodawca wskazał jedynie w uzasadnieniu (str. 47), że </w:t>
            </w:r>
            <w:r w:rsidRPr="000212FA">
              <w:rPr>
                <w:rFonts w:ascii="Times New Roman" w:hAnsi="Times New Roman" w:cs="Times New Roman"/>
                <w:i/>
                <w:iCs/>
              </w:rPr>
              <w:t>„Wprowadzany przepis ma na celu umożliwienie wdrożenia w jak najkrótszym</w:t>
            </w:r>
            <w:r w:rsidRPr="000212FA">
              <w:rPr>
                <w:rFonts w:ascii="Times New Roman" w:hAnsi="Times New Roman" w:cs="Times New Roman"/>
              </w:rPr>
              <w:t xml:space="preserve"> </w:t>
            </w:r>
            <w:r w:rsidRPr="000212FA">
              <w:rPr>
                <w:rFonts w:ascii="Times New Roman" w:hAnsi="Times New Roman" w:cs="Times New Roman"/>
                <w:i/>
                <w:iCs/>
              </w:rPr>
              <w:t>terminie zmian organizacyjnych, nowego trybu wydawania orzeczeń (orzekanie</w:t>
            </w:r>
            <w:r w:rsidRPr="000212FA">
              <w:rPr>
                <w:rFonts w:ascii="Times New Roman" w:hAnsi="Times New Roman" w:cs="Times New Roman"/>
              </w:rPr>
              <w:t xml:space="preserve"> </w:t>
            </w:r>
            <w:r w:rsidRPr="000212FA">
              <w:rPr>
                <w:rFonts w:ascii="Times New Roman" w:hAnsi="Times New Roman" w:cs="Times New Roman"/>
                <w:i/>
                <w:iCs/>
              </w:rPr>
              <w:t xml:space="preserve">jednoosobowe), a także wydawania orzeczeń przez specjalistów </w:t>
            </w:r>
            <w:r w:rsidRPr="000212FA">
              <w:rPr>
                <w:rFonts w:ascii="Times New Roman" w:hAnsi="Times New Roman" w:cs="Times New Roman"/>
                <w:i/>
                <w:iCs/>
              </w:rPr>
              <w:lastRenderedPageBreak/>
              <w:t>wykonujących samodzielne zawody medyczne. Wskazany w ustawie termin rozpoczęcia funkcjonowania nowej</w:t>
            </w:r>
            <w:r w:rsidRPr="000212FA">
              <w:rPr>
                <w:rFonts w:ascii="Times New Roman" w:hAnsi="Times New Roman" w:cs="Times New Roman"/>
              </w:rPr>
              <w:t xml:space="preserve"> </w:t>
            </w:r>
            <w:r w:rsidRPr="000212FA">
              <w:rPr>
                <w:rFonts w:ascii="Times New Roman" w:hAnsi="Times New Roman" w:cs="Times New Roman"/>
                <w:i/>
                <w:iCs/>
              </w:rPr>
              <w:t>organizacji orzecznictwa lekarskiego daje ZUS krótki okres na wdrożenie projektowanych</w:t>
            </w:r>
            <w:r w:rsidRPr="000212FA">
              <w:rPr>
                <w:rFonts w:ascii="Times New Roman" w:hAnsi="Times New Roman" w:cs="Times New Roman"/>
              </w:rPr>
              <w:t xml:space="preserve"> </w:t>
            </w:r>
            <w:r w:rsidRPr="000212FA">
              <w:rPr>
                <w:rFonts w:ascii="Times New Roman" w:hAnsi="Times New Roman" w:cs="Times New Roman"/>
                <w:i/>
                <w:iCs/>
              </w:rPr>
              <w:t>rozwiązań, niemniej jednak jest on uzasadniony pilną potrzebą ich wprowadzenia z uwagi</w:t>
            </w:r>
            <w:r w:rsidRPr="000212FA">
              <w:rPr>
                <w:rFonts w:ascii="Times New Roman" w:hAnsi="Times New Roman" w:cs="Times New Roman"/>
              </w:rPr>
              <w:t xml:space="preserve"> </w:t>
            </w:r>
            <w:r w:rsidRPr="000212FA">
              <w:rPr>
                <w:rFonts w:ascii="Times New Roman" w:hAnsi="Times New Roman" w:cs="Times New Roman"/>
                <w:i/>
                <w:iCs/>
              </w:rPr>
              <w:t>na opisane na wstępie uzasadnienia problemy z uzupełnieniem stanu zatrudnienia lekarzy</w:t>
            </w:r>
            <w:r w:rsidRPr="000212FA">
              <w:rPr>
                <w:rFonts w:ascii="Times New Roman" w:hAnsi="Times New Roman" w:cs="Times New Roman"/>
              </w:rPr>
              <w:t xml:space="preserve"> </w:t>
            </w:r>
            <w:r w:rsidRPr="000212FA">
              <w:rPr>
                <w:rFonts w:ascii="Times New Roman" w:hAnsi="Times New Roman" w:cs="Times New Roman"/>
                <w:i/>
                <w:iCs/>
              </w:rPr>
              <w:t>orzecznictwa lekarskiego.”</w:t>
            </w:r>
            <w:r w:rsidRPr="000212FA">
              <w:rPr>
                <w:rFonts w:ascii="Times New Roman" w:hAnsi="Times New Roman" w:cs="Times New Roman"/>
              </w:rPr>
              <w:t>. Dyrektywa Parlamentu Europejskiego i Rady 2014/24/UE z dnia 26 lutego 2014 r. w sprawie zamówień publicznych, uchylająca dyrektywę 2004/18/WE zawiera rozwiązania, pozwalające na szybkie realizowanie zamówień w sytuacji kryzysowej, ale całkowite wyłączenie stosowania dyrektyw unijnych w sprawie zamówień publicznych nie jest jednak dopuszczalne. Tym samym pozostawienie projektowanej regulacji wymaga uzasadnienia w świetle przepisów dyrektyw unijnych.</w:t>
            </w:r>
          </w:p>
        </w:tc>
        <w:tc>
          <w:tcPr>
            <w:tcW w:w="3402" w:type="dxa"/>
            <w:vAlign w:val="center"/>
          </w:tcPr>
          <w:p w14:paraId="5A323CD9" w14:textId="2F08E79A" w:rsidR="00F0743A" w:rsidRPr="000212FA" w:rsidRDefault="00F0743A" w:rsidP="003318FC">
            <w:pPr>
              <w:spacing w:after="0" w:line="240" w:lineRule="auto"/>
              <w:jc w:val="both"/>
              <w:rPr>
                <w:rFonts w:ascii="Times New Roman" w:hAnsi="Times New Roman" w:cs="Times New Roman"/>
                <w:b/>
              </w:rPr>
            </w:pPr>
          </w:p>
        </w:tc>
        <w:tc>
          <w:tcPr>
            <w:tcW w:w="4253" w:type="dxa"/>
          </w:tcPr>
          <w:p w14:paraId="54553636" w14:textId="540A4C3E" w:rsidR="00F0743A" w:rsidRPr="000212FA" w:rsidRDefault="00E60663" w:rsidP="003318FC">
            <w:pPr>
              <w:spacing w:after="0" w:line="240" w:lineRule="auto"/>
              <w:jc w:val="both"/>
              <w:rPr>
                <w:rFonts w:ascii="Times New Roman" w:hAnsi="Times New Roman" w:cs="Times New Roman"/>
              </w:rPr>
            </w:pPr>
            <w:r w:rsidRPr="000212FA">
              <w:rPr>
                <w:rFonts w:ascii="Times New Roman" w:hAnsi="Times New Roman" w:cs="Times New Roman"/>
              </w:rPr>
              <w:t xml:space="preserve">Patrz </w:t>
            </w:r>
            <w:r w:rsidR="004422EC" w:rsidRPr="000212FA">
              <w:rPr>
                <w:rFonts w:ascii="Times New Roman" w:hAnsi="Times New Roman" w:cs="Times New Roman"/>
              </w:rPr>
              <w:t>Lp.</w:t>
            </w:r>
            <w:r w:rsidRPr="000212FA">
              <w:rPr>
                <w:rFonts w:ascii="Times New Roman" w:hAnsi="Times New Roman" w:cs="Times New Roman"/>
              </w:rPr>
              <w:t xml:space="preserve"> 9</w:t>
            </w:r>
          </w:p>
        </w:tc>
      </w:tr>
      <w:tr w:rsidR="00F0743A" w:rsidRPr="000212FA" w14:paraId="5C9C6E48" w14:textId="77777777" w:rsidTr="003318FC">
        <w:tc>
          <w:tcPr>
            <w:tcW w:w="567" w:type="dxa"/>
          </w:tcPr>
          <w:p w14:paraId="1987D046" w14:textId="77777777" w:rsidR="00F0743A" w:rsidRPr="000212FA" w:rsidRDefault="00F0743A" w:rsidP="003318FC">
            <w:pPr>
              <w:pStyle w:val="Akapitzlist"/>
              <w:numPr>
                <w:ilvl w:val="0"/>
                <w:numId w:val="1"/>
              </w:numPr>
              <w:spacing w:after="0" w:line="240" w:lineRule="auto"/>
              <w:ind w:left="0" w:firstLine="0"/>
              <w:jc w:val="both"/>
              <w:rPr>
                <w:rFonts w:ascii="Times New Roman" w:hAnsi="Times New Roman" w:cs="Times New Roman"/>
                <w:b/>
              </w:rPr>
            </w:pPr>
          </w:p>
        </w:tc>
        <w:tc>
          <w:tcPr>
            <w:tcW w:w="1418" w:type="dxa"/>
            <w:vAlign w:val="center"/>
          </w:tcPr>
          <w:p w14:paraId="0A4DCC86" w14:textId="775239CC" w:rsidR="00F0743A" w:rsidRPr="000212FA" w:rsidRDefault="00F0743A" w:rsidP="003318FC">
            <w:pPr>
              <w:spacing w:after="0" w:line="240" w:lineRule="auto"/>
              <w:jc w:val="both"/>
              <w:rPr>
                <w:rFonts w:ascii="Times New Roman" w:hAnsi="Times New Roman" w:cs="Times New Roman"/>
              </w:rPr>
            </w:pPr>
            <w:r w:rsidRPr="000212FA">
              <w:rPr>
                <w:rFonts w:ascii="Times New Roman" w:hAnsi="Times New Roman" w:cs="Times New Roman"/>
              </w:rPr>
              <w:t>Przepisy przejściowe</w:t>
            </w:r>
          </w:p>
        </w:tc>
        <w:tc>
          <w:tcPr>
            <w:tcW w:w="1559" w:type="dxa"/>
            <w:vAlign w:val="center"/>
          </w:tcPr>
          <w:p w14:paraId="65ABE1E8" w14:textId="4D091A6A" w:rsidR="00F0743A" w:rsidRPr="000212FA" w:rsidRDefault="00F0743A" w:rsidP="003318FC">
            <w:pPr>
              <w:spacing w:after="0" w:line="240" w:lineRule="auto"/>
              <w:jc w:val="both"/>
              <w:rPr>
                <w:rFonts w:ascii="Times New Roman" w:hAnsi="Times New Roman" w:cs="Times New Roman"/>
              </w:rPr>
            </w:pPr>
            <w:r w:rsidRPr="000212FA">
              <w:rPr>
                <w:rFonts w:ascii="Times New Roman" w:hAnsi="Times New Roman" w:cs="Times New Roman"/>
              </w:rPr>
              <w:t>RCL</w:t>
            </w:r>
          </w:p>
        </w:tc>
        <w:tc>
          <w:tcPr>
            <w:tcW w:w="4536" w:type="dxa"/>
          </w:tcPr>
          <w:p w14:paraId="0E066816" w14:textId="0DF16720" w:rsidR="00F0743A" w:rsidRPr="000212FA" w:rsidRDefault="00961B10" w:rsidP="003318FC">
            <w:pPr>
              <w:spacing w:after="0" w:line="240" w:lineRule="auto"/>
              <w:jc w:val="both"/>
              <w:rPr>
                <w:rFonts w:ascii="Times New Roman" w:hAnsi="Times New Roman" w:cs="Times New Roman"/>
              </w:rPr>
            </w:pPr>
            <w:r w:rsidRPr="000212FA">
              <w:rPr>
                <w:rFonts w:ascii="Times New Roman" w:hAnsi="Times New Roman" w:cs="Times New Roman"/>
              </w:rPr>
              <w:t xml:space="preserve">Projektowana ustawa wymaga ponownej analizy pod kątem kompletności zamieszczonych w niej regulacji intertemporalnych związanych ze zmianami proponowanymi w stosunku do obowiązującego stanu prawnego lub ewentualnie wskazania w uzasadnieniu braku potrzeby ich zamieszczania. Zgodnie bowiem z § 30 ust. 1 </w:t>
            </w:r>
            <w:r w:rsidRPr="000212FA">
              <w:rPr>
                <w:rFonts w:ascii="Times New Roman" w:hAnsi="Times New Roman" w:cs="Times New Roman"/>
                <w:i/>
                <w:iCs/>
              </w:rPr>
              <w:t xml:space="preserve">Zasad techniki prawodawczej </w:t>
            </w:r>
            <w:r w:rsidRPr="000212FA">
              <w:rPr>
                <w:rFonts w:ascii="Times New Roman" w:hAnsi="Times New Roman" w:cs="Times New Roman"/>
              </w:rPr>
              <w:t xml:space="preserve">w przepisach przejściowych reguluje się wpływ nowej albo znowelizowanej ustawy na stosunki powstałe pod działaniem ustawy dotychczasowej bez względu na to, czy do tych stosunków zamierza się stosować przepisy dotychczasowe, przepisy nowe czy przepisy regulujące ten wpływ w sposób odmienny od przepisów </w:t>
            </w:r>
            <w:r w:rsidRPr="000212FA">
              <w:rPr>
                <w:rFonts w:ascii="Times New Roman" w:hAnsi="Times New Roman" w:cs="Times New Roman"/>
              </w:rPr>
              <w:lastRenderedPageBreak/>
              <w:t xml:space="preserve">dotychczasowych i przepisów nowych. Kwestia przepisów przejściowych wymaga zatem rozwinięcia w uzasadnieniu projektu, także w zakresie, w jakim nie ma potrzeby zamieszczania takich regulacji. Przykładowo w art. 1 w pkt 1 lit. a </w:t>
            </w:r>
            <w:proofErr w:type="spellStart"/>
            <w:r w:rsidRPr="000212FA">
              <w:rPr>
                <w:rFonts w:ascii="Times New Roman" w:hAnsi="Times New Roman" w:cs="Times New Roman"/>
              </w:rPr>
              <w:t>tiret</w:t>
            </w:r>
            <w:proofErr w:type="spellEnd"/>
            <w:r w:rsidRPr="000212FA">
              <w:rPr>
                <w:rFonts w:ascii="Times New Roman" w:hAnsi="Times New Roman" w:cs="Times New Roman"/>
              </w:rPr>
              <w:t xml:space="preserve"> trzecie projektu zaproponowano zmianę art. 68 ust. 1 pkt 7 </w:t>
            </w:r>
            <w:r w:rsidRPr="000212FA">
              <w:rPr>
                <w:rFonts w:ascii="Times New Roman" w:hAnsi="Times New Roman" w:cs="Times New Roman"/>
                <w:i/>
                <w:iCs/>
              </w:rPr>
              <w:t>ustawy z dnia</w:t>
            </w:r>
            <w:r w:rsidRPr="000212FA">
              <w:rPr>
                <w:rFonts w:ascii="Times New Roman" w:hAnsi="Times New Roman" w:cs="Times New Roman"/>
              </w:rPr>
              <w:t xml:space="preserve"> </w:t>
            </w:r>
            <w:r w:rsidRPr="000212FA">
              <w:rPr>
                <w:rFonts w:ascii="Times New Roman" w:hAnsi="Times New Roman" w:cs="Times New Roman"/>
                <w:i/>
                <w:iCs/>
              </w:rPr>
              <w:t>13 października 1998 r. o systemie ubezpieczeń społecznych</w:t>
            </w:r>
            <w:r w:rsidRPr="000212FA">
              <w:rPr>
                <w:rFonts w:ascii="Times New Roman" w:hAnsi="Times New Roman" w:cs="Times New Roman"/>
              </w:rPr>
              <w:t xml:space="preserve">, zgodnie z którą do zakresu działania Zakładu </w:t>
            </w:r>
            <w:r w:rsidRPr="000212FA">
              <w:rPr>
                <w:rFonts w:ascii="Times New Roman" w:hAnsi="Times New Roman" w:cs="Times New Roman"/>
                <w:i/>
                <w:iCs/>
              </w:rPr>
              <w:t xml:space="preserve">expressis verbis </w:t>
            </w:r>
            <w:r w:rsidRPr="000212FA">
              <w:rPr>
                <w:rFonts w:ascii="Times New Roman" w:hAnsi="Times New Roman" w:cs="Times New Roman"/>
              </w:rPr>
              <w:t xml:space="preserve">nie będzie już należało wydawanie Biuletynu Informacyjnego, ale nie zamieszczono przepisów przejściowych, co wymaga przeanalizowania. Do rozważenia także pozostaje potrzeba weryfikacji zakresów przepisów przejściowych dotyczących kontroli prawidłowości orzekania o czasowej niezdolności do pracy z powodu choroby albo konieczności sprawowania opieki nad chorym członkiem rodziny oraz wystawiania zaświadczeń lekarskich, ponieważ art. 30 projektu dotyczy jedynie </w:t>
            </w:r>
            <w:r w:rsidRPr="000212FA">
              <w:rPr>
                <w:rFonts w:ascii="Times New Roman" w:hAnsi="Times New Roman" w:cs="Times New Roman"/>
                <w:i/>
                <w:iCs/>
              </w:rPr>
              <w:t>„formalnej kontroli zaświadczeń lekarskich”</w:t>
            </w:r>
            <w:r w:rsidRPr="000212FA">
              <w:rPr>
                <w:rFonts w:ascii="Times New Roman" w:hAnsi="Times New Roman" w:cs="Times New Roman"/>
              </w:rPr>
              <w:t>.</w:t>
            </w:r>
          </w:p>
        </w:tc>
        <w:tc>
          <w:tcPr>
            <w:tcW w:w="3402" w:type="dxa"/>
            <w:vAlign w:val="center"/>
          </w:tcPr>
          <w:p w14:paraId="26D3CF90" w14:textId="35344039" w:rsidR="00F0743A" w:rsidRPr="000212FA" w:rsidRDefault="00F0743A" w:rsidP="003318FC">
            <w:pPr>
              <w:spacing w:after="0" w:line="240" w:lineRule="auto"/>
              <w:jc w:val="both"/>
              <w:rPr>
                <w:rFonts w:ascii="Times New Roman" w:hAnsi="Times New Roman" w:cs="Times New Roman"/>
              </w:rPr>
            </w:pPr>
          </w:p>
        </w:tc>
        <w:tc>
          <w:tcPr>
            <w:tcW w:w="4253" w:type="dxa"/>
          </w:tcPr>
          <w:p w14:paraId="4664790B" w14:textId="77777777" w:rsidR="00546C55" w:rsidRPr="000212FA" w:rsidRDefault="00546C55" w:rsidP="003318FC">
            <w:pPr>
              <w:spacing w:after="0" w:line="240" w:lineRule="auto"/>
              <w:jc w:val="both"/>
              <w:rPr>
                <w:rFonts w:ascii="Times New Roman" w:hAnsi="Times New Roman" w:cs="Times New Roman"/>
                <w:b/>
                <w:bCs/>
              </w:rPr>
            </w:pPr>
            <w:r w:rsidRPr="000212FA">
              <w:rPr>
                <w:rFonts w:ascii="Times New Roman" w:hAnsi="Times New Roman" w:cs="Times New Roman"/>
                <w:b/>
                <w:bCs/>
              </w:rPr>
              <w:t>Uwaga uwzględniona.</w:t>
            </w:r>
          </w:p>
          <w:p w14:paraId="178463C1" w14:textId="77777777" w:rsidR="00546C55" w:rsidRPr="000212FA" w:rsidRDefault="00546C55" w:rsidP="003318FC">
            <w:pPr>
              <w:spacing w:after="0" w:line="240" w:lineRule="auto"/>
              <w:jc w:val="both"/>
              <w:rPr>
                <w:rFonts w:ascii="Times New Roman" w:hAnsi="Times New Roman" w:cs="Times New Roman"/>
              </w:rPr>
            </w:pPr>
          </w:p>
          <w:p w14:paraId="4A983867" w14:textId="57246C4D" w:rsidR="00F0743A" w:rsidRPr="000212FA" w:rsidRDefault="00546C55" w:rsidP="003318FC">
            <w:pPr>
              <w:spacing w:after="0" w:line="240" w:lineRule="auto"/>
              <w:jc w:val="both"/>
              <w:rPr>
                <w:rFonts w:ascii="Times New Roman" w:hAnsi="Times New Roman" w:cs="Times New Roman"/>
              </w:rPr>
            </w:pPr>
            <w:r w:rsidRPr="000212FA">
              <w:rPr>
                <w:rFonts w:ascii="Times New Roman" w:hAnsi="Times New Roman" w:cs="Times New Roman"/>
              </w:rPr>
              <w:t>Projekt ustawy zosta</w:t>
            </w:r>
            <w:r w:rsidR="004174EF" w:rsidRPr="000212FA">
              <w:rPr>
                <w:rFonts w:ascii="Times New Roman" w:hAnsi="Times New Roman" w:cs="Times New Roman"/>
              </w:rPr>
              <w:t>ł</w:t>
            </w:r>
            <w:r w:rsidRPr="000212FA">
              <w:rPr>
                <w:rFonts w:ascii="Times New Roman" w:hAnsi="Times New Roman" w:cs="Times New Roman"/>
              </w:rPr>
              <w:t xml:space="preserve"> uzupełniony </w:t>
            </w:r>
            <w:r w:rsidR="0018660D" w:rsidRPr="000212FA">
              <w:rPr>
                <w:rFonts w:ascii="Times New Roman" w:hAnsi="Times New Roman" w:cs="Times New Roman"/>
              </w:rPr>
              <w:br/>
            </w:r>
            <w:r w:rsidRPr="000212FA">
              <w:rPr>
                <w:rFonts w:ascii="Times New Roman" w:hAnsi="Times New Roman" w:cs="Times New Roman"/>
              </w:rPr>
              <w:t>o odpowiednie przepisy przejściowe</w:t>
            </w:r>
            <w:r w:rsidR="0018660D" w:rsidRPr="000212FA">
              <w:rPr>
                <w:rFonts w:ascii="Times New Roman" w:hAnsi="Times New Roman" w:cs="Times New Roman"/>
              </w:rPr>
              <w:t xml:space="preserve"> – adekwatnie do zgłoszonej uwagi.</w:t>
            </w:r>
          </w:p>
          <w:p w14:paraId="6484B653" w14:textId="77777777" w:rsidR="00D934DC" w:rsidRPr="000212FA" w:rsidRDefault="00D934DC" w:rsidP="003318FC">
            <w:pPr>
              <w:spacing w:after="0" w:line="240" w:lineRule="auto"/>
              <w:jc w:val="both"/>
              <w:rPr>
                <w:rFonts w:ascii="Times New Roman" w:hAnsi="Times New Roman" w:cs="Times New Roman"/>
              </w:rPr>
            </w:pPr>
          </w:p>
          <w:p w14:paraId="26CE8A4D" w14:textId="1F846938" w:rsidR="00D934DC" w:rsidRPr="000212FA" w:rsidRDefault="00D934DC" w:rsidP="003318FC">
            <w:pPr>
              <w:spacing w:after="0" w:line="240" w:lineRule="auto"/>
              <w:jc w:val="both"/>
              <w:rPr>
                <w:rFonts w:ascii="Times New Roman" w:hAnsi="Times New Roman" w:cs="Times New Roman"/>
              </w:rPr>
            </w:pPr>
          </w:p>
        </w:tc>
      </w:tr>
      <w:tr w:rsidR="00F0743A" w:rsidRPr="000212FA" w14:paraId="127316A5" w14:textId="77777777" w:rsidTr="003318FC">
        <w:tc>
          <w:tcPr>
            <w:tcW w:w="567" w:type="dxa"/>
          </w:tcPr>
          <w:p w14:paraId="56D20B1A" w14:textId="77777777" w:rsidR="00F0743A" w:rsidRPr="000212FA" w:rsidRDefault="00F0743A" w:rsidP="003318FC">
            <w:pPr>
              <w:pStyle w:val="Akapitzlist"/>
              <w:numPr>
                <w:ilvl w:val="0"/>
                <w:numId w:val="1"/>
              </w:numPr>
              <w:spacing w:after="0" w:line="240" w:lineRule="auto"/>
              <w:ind w:left="0" w:firstLine="0"/>
              <w:jc w:val="both"/>
              <w:rPr>
                <w:rFonts w:ascii="Times New Roman" w:hAnsi="Times New Roman" w:cs="Times New Roman"/>
                <w:b/>
              </w:rPr>
            </w:pPr>
          </w:p>
        </w:tc>
        <w:tc>
          <w:tcPr>
            <w:tcW w:w="1418" w:type="dxa"/>
            <w:vAlign w:val="center"/>
          </w:tcPr>
          <w:p w14:paraId="5300D3DD" w14:textId="64B0DEF2" w:rsidR="00F0743A" w:rsidRPr="000212FA" w:rsidRDefault="00F0743A" w:rsidP="003318FC">
            <w:pPr>
              <w:spacing w:after="0" w:line="240" w:lineRule="auto"/>
              <w:jc w:val="both"/>
              <w:rPr>
                <w:rFonts w:ascii="Times New Roman" w:hAnsi="Times New Roman" w:cs="Times New Roman"/>
              </w:rPr>
            </w:pPr>
            <w:r w:rsidRPr="000212FA">
              <w:rPr>
                <w:rFonts w:ascii="Times New Roman" w:hAnsi="Times New Roman" w:cs="Times New Roman"/>
              </w:rPr>
              <w:t xml:space="preserve">Art. 31 </w:t>
            </w:r>
            <w:r w:rsidR="0088551D" w:rsidRPr="000212FA">
              <w:rPr>
                <w:rFonts w:ascii="Times New Roman" w:hAnsi="Times New Roman" w:cs="Times New Roman"/>
              </w:rPr>
              <w:t>(</w:t>
            </w:r>
            <w:r w:rsidRPr="000212FA">
              <w:rPr>
                <w:rFonts w:ascii="Times New Roman" w:hAnsi="Times New Roman" w:cs="Times New Roman"/>
              </w:rPr>
              <w:t>termin wejścia w życie</w:t>
            </w:r>
            <w:r w:rsidR="0088551D" w:rsidRPr="000212FA">
              <w:rPr>
                <w:rFonts w:ascii="Times New Roman" w:hAnsi="Times New Roman" w:cs="Times New Roman"/>
              </w:rPr>
              <w:t>)</w:t>
            </w:r>
          </w:p>
        </w:tc>
        <w:tc>
          <w:tcPr>
            <w:tcW w:w="1559" w:type="dxa"/>
            <w:vAlign w:val="center"/>
          </w:tcPr>
          <w:p w14:paraId="61CCA2F2" w14:textId="2A9D75A2" w:rsidR="00F0743A" w:rsidRPr="000212FA" w:rsidRDefault="00F0743A" w:rsidP="003318FC">
            <w:pPr>
              <w:spacing w:after="0" w:line="240" w:lineRule="auto"/>
              <w:jc w:val="both"/>
              <w:rPr>
                <w:rFonts w:ascii="Times New Roman" w:hAnsi="Times New Roman" w:cs="Times New Roman"/>
              </w:rPr>
            </w:pPr>
            <w:r w:rsidRPr="000212FA">
              <w:rPr>
                <w:rFonts w:ascii="Times New Roman" w:hAnsi="Times New Roman" w:cs="Times New Roman"/>
              </w:rPr>
              <w:t>RCL</w:t>
            </w:r>
          </w:p>
        </w:tc>
        <w:tc>
          <w:tcPr>
            <w:tcW w:w="4536" w:type="dxa"/>
          </w:tcPr>
          <w:p w14:paraId="0293F9B5" w14:textId="7548B0A0" w:rsidR="00F0743A" w:rsidRPr="000212FA" w:rsidRDefault="00961B10" w:rsidP="003318FC">
            <w:pPr>
              <w:spacing w:after="0" w:line="240" w:lineRule="auto"/>
              <w:jc w:val="both"/>
              <w:rPr>
                <w:rFonts w:ascii="Times New Roman" w:hAnsi="Times New Roman" w:cs="Times New Roman"/>
              </w:rPr>
            </w:pPr>
            <w:r w:rsidRPr="000212FA">
              <w:rPr>
                <w:rFonts w:ascii="Times New Roman" w:hAnsi="Times New Roman" w:cs="Times New Roman"/>
              </w:rPr>
              <w:t xml:space="preserve">Budzi zastrzeżenia termin wejścia w życie ustawy ze względu na czas potrzebny na przeprowadzenie całej procedury legislacyjnej (biorąc pod uwagę etap prac legislacyjnych nad projektem oraz kalendarz prac parlamentarnych). Przewidziany w projekcie termin wejścia w życie ustawy i jej poszczególnych przepisów nie gwarantuje także odpowiedniego </w:t>
            </w:r>
            <w:r w:rsidRPr="000212FA">
              <w:rPr>
                <w:rFonts w:ascii="Times New Roman" w:hAnsi="Times New Roman" w:cs="Times New Roman"/>
                <w:i/>
                <w:iCs/>
              </w:rPr>
              <w:t xml:space="preserve">vacatio legis </w:t>
            </w:r>
            <w:r w:rsidRPr="000212FA">
              <w:rPr>
                <w:rFonts w:ascii="Times New Roman" w:hAnsi="Times New Roman" w:cs="Times New Roman"/>
              </w:rPr>
              <w:t>dla adresatów norm.</w:t>
            </w:r>
          </w:p>
        </w:tc>
        <w:tc>
          <w:tcPr>
            <w:tcW w:w="3402" w:type="dxa"/>
            <w:vAlign w:val="center"/>
          </w:tcPr>
          <w:p w14:paraId="01DF356D" w14:textId="5B07987B" w:rsidR="00F0743A" w:rsidRPr="000212FA" w:rsidRDefault="00F0743A" w:rsidP="003318FC">
            <w:pPr>
              <w:spacing w:after="0" w:line="240" w:lineRule="auto"/>
              <w:ind w:firstLine="348"/>
              <w:jc w:val="both"/>
              <w:rPr>
                <w:rFonts w:ascii="Times New Roman" w:hAnsi="Times New Roman" w:cs="Times New Roman"/>
              </w:rPr>
            </w:pPr>
          </w:p>
        </w:tc>
        <w:tc>
          <w:tcPr>
            <w:tcW w:w="4253" w:type="dxa"/>
          </w:tcPr>
          <w:p w14:paraId="4A64C023" w14:textId="77777777" w:rsidR="009B747F" w:rsidRPr="000212FA" w:rsidRDefault="009B747F" w:rsidP="003318FC">
            <w:pPr>
              <w:spacing w:after="0" w:line="240" w:lineRule="auto"/>
              <w:jc w:val="both"/>
              <w:rPr>
                <w:rFonts w:ascii="Times New Roman" w:hAnsi="Times New Roman" w:cs="Times New Roman"/>
                <w:b/>
                <w:bCs/>
              </w:rPr>
            </w:pPr>
            <w:r w:rsidRPr="000212FA">
              <w:rPr>
                <w:rFonts w:ascii="Times New Roman" w:hAnsi="Times New Roman" w:cs="Times New Roman"/>
                <w:b/>
                <w:bCs/>
              </w:rPr>
              <w:t>Uwaga uwzględniona.</w:t>
            </w:r>
          </w:p>
          <w:p w14:paraId="28E38AFF" w14:textId="77777777" w:rsidR="009B747F" w:rsidRPr="000212FA" w:rsidRDefault="009B747F" w:rsidP="003318FC">
            <w:pPr>
              <w:spacing w:after="0" w:line="240" w:lineRule="auto"/>
              <w:jc w:val="both"/>
              <w:rPr>
                <w:rFonts w:ascii="Times New Roman" w:hAnsi="Times New Roman" w:cs="Times New Roman"/>
              </w:rPr>
            </w:pPr>
          </w:p>
          <w:p w14:paraId="473B1728" w14:textId="477C46A1" w:rsidR="00F0743A" w:rsidRPr="000212FA" w:rsidRDefault="009B747F" w:rsidP="003318FC">
            <w:pPr>
              <w:spacing w:after="0" w:line="240" w:lineRule="auto"/>
              <w:jc w:val="both"/>
              <w:rPr>
                <w:rFonts w:ascii="Times New Roman" w:hAnsi="Times New Roman" w:cs="Times New Roman"/>
              </w:rPr>
            </w:pPr>
            <w:r w:rsidRPr="000212FA">
              <w:rPr>
                <w:rFonts w:ascii="Times New Roman" w:hAnsi="Times New Roman" w:cs="Times New Roman"/>
              </w:rPr>
              <w:t xml:space="preserve">Zaproponowano nowy termin wejścia w życie ustawy. </w:t>
            </w:r>
          </w:p>
          <w:p w14:paraId="71D40728" w14:textId="77777777" w:rsidR="00D32A7A" w:rsidRPr="000212FA" w:rsidRDefault="00D32A7A" w:rsidP="003318FC">
            <w:pPr>
              <w:spacing w:after="0" w:line="240" w:lineRule="auto"/>
              <w:jc w:val="both"/>
              <w:rPr>
                <w:rFonts w:ascii="Times New Roman" w:hAnsi="Times New Roman" w:cs="Times New Roman"/>
                <w:color w:val="FF0000"/>
              </w:rPr>
            </w:pPr>
          </w:p>
          <w:p w14:paraId="6B115191" w14:textId="05AE62A3" w:rsidR="00D32A7A" w:rsidRPr="000212FA" w:rsidRDefault="00D32A7A" w:rsidP="003318FC">
            <w:pPr>
              <w:spacing w:after="0" w:line="240" w:lineRule="auto"/>
              <w:jc w:val="both"/>
              <w:rPr>
                <w:rFonts w:ascii="Times New Roman" w:hAnsi="Times New Roman" w:cs="Times New Roman"/>
              </w:rPr>
            </w:pPr>
          </w:p>
        </w:tc>
      </w:tr>
      <w:tr w:rsidR="00F0743A" w:rsidRPr="000212FA" w14:paraId="72F2C4BC" w14:textId="77777777" w:rsidTr="003318FC">
        <w:tc>
          <w:tcPr>
            <w:tcW w:w="567" w:type="dxa"/>
          </w:tcPr>
          <w:p w14:paraId="2E9CB899" w14:textId="77777777" w:rsidR="00F0743A" w:rsidRPr="000212FA" w:rsidRDefault="00F0743A" w:rsidP="003318FC">
            <w:pPr>
              <w:pStyle w:val="Akapitzlist"/>
              <w:numPr>
                <w:ilvl w:val="0"/>
                <w:numId w:val="1"/>
              </w:numPr>
              <w:spacing w:after="0" w:line="240" w:lineRule="auto"/>
              <w:ind w:left="0" w:firstLine="0"/>
              <w:jc w:val="both"/>
              <w:rPr>
                <w:rFonts w:ascii="Times New Roman" w:hAnsi="Times New Roman" w:cs="Times New Roman"/>
                <w:b/>
              </w:rPr>
            </w:pPr>
          </w:p>
        </w:tc>
        <w:tc>
          <w:tcPr>
            <w:tcW w:w="1418" w:type="dxa"/>
            <w:vAlign w:val="center"/>
          </w:tcPr>
          <w:p w14:paraId="4D629ED2" w14:textId="35A8EE78" w:rsidR="00F0743A" w:rsidRPr="000212FA" w:rsidRDefault="00F0743A" w:rsidP="003318FC">
            <w:pPr>
              <w:spacing w:after="0" w:line="240" w:lineRule="auto"/>
              <w:jc w:val="both"/>
              <w:rPr>
                <w:rFonts w:ascii="Times New Roman" w:hAnsi="Times New Roman" w:cs="Times New Roman"/>
              </w:rPr>
            </w:pPr>
            <w:r w:rsidRPr="000212FA">
              <w:rPr>
                <w:rFonts w:ascii="Times New Roman" w:hAnsi="Times New Roman" w:cs="Times New Roman"/>
              </w:rPr>
              <w:t>OSR</w:t>
            </w:r>
          </w:p>
        </w:tc>
        <w:tc>
          <w:tcPr>
            <w:tcW w:w="1559" w:type="dxa"/>
            <w:vAlign w:val="center"/>
          </w:tcPr>
          <w:p w14:paraId="5B73C4F1" w14:textId="73A3DA5D" w:rsidR="00F0743A" w:rsidRPr="000212FA" w:rsidRDefault="00F0743A" w:rsidP="003318FC">
            <w:pPr>
              <w:spacing w:after="0" w:line="240" w:lineRule="auto"/>
              <w:jc w:val="both"/>
              <w:rPr>
                <w:rFonts w:ascii="Times New Roman" w:hAnsi="Times New Roman" w:cs="Times New Roman"/>
              </w:rPr>
            </w:pPr>
            <w:r w:rsidRPr="000212FA">
              <w:rPr>
                <w:rFonts w:ascii="Times New Roman" w:hAnsi="Times New Roman" w:cs="Times New Roman"/>
              </w:rPr>
              <w:t>MF</w:t>
            </w:r>
          </w:p>
        </w:tc>
        <w:tc>
          <w:tcPr>
            <w:tcW w:w="4536" w:type="dxa"/>
          </w:tcPr>
          <w:p w14:paraId="0357258D" w14:textId="2763006B" w:rsidR="00F0743A" w:rsidRPr="000212FA" w:rsidRDefault="00FF6E9D" w:rsidP="003318FC">
            <w:pPr>
              <w:spacing w:after="0" w:line="240" w:lineRule="auto"/>
              <w:jc w:val="both"/>
              <w:rPr>
                <w:rFonts w:ascii="Times New Roman" w:hAnsi="Times New Roman" w:cs="Times New Roman"/>
              </w:rPr>
            </w:pPr>
            <w:r w:rsidRPr="000212FA">
              <w:rPr>
                <w:rFonts w:ascii="Times New Roman" w:hAnsi="Times New Roman" w:cs="Times New Roman"/>
              </w:rPr>
              <w:t xml:space="preserve">W ocenie skutków regulacji wskazano, że projektowane zmiany nie będą generowały żadnych skutków finansowych. Jednocześnie wskazano, że koszt umów cywilnoprawnych, </w:t>
            </w:r>
            <w:r w:rsidRPr="000212FA">
              <w:rPr>
                <w:rFonts w:ascii="Times New Roman" w:hAnsi="Times New Roman" w:cs="Times New Roman"/>
              </w:rPr>
              <w:lastRenderedPageBreak/>
              <w:t>przy zakładanym zatrudnieniu 112 lekarzy/specjalistów oraz analogicznej dziennej liczbie wydawanych orzeczeń, szacuje się na ok. 46 mln zł rocznie. Realizacja wypłat z tego tytułu ma się odbywać poza funduszem wynagrodzeń osobowych i bezosobowych. Biorąc pod uwagę powyższe, wymaga wyjaśnienia, czy wskazana kwota będzie kosztem dla budżetu państwa, a jeżeli tak – konieczne jest wskazanie w OSR źródła jej sfinansowania.</w:t>
            </w:r>
          </w:p>
        </w:tc>
        <w:tc>
          <w:tcPr>
            <w:tcW w:w="3402" w:type="dxa"/>
            <w:vAlign w:val="center"/>
          </w:tcPr>
          <w:p w14:paraId="41483716" w14:textId="77777777" w:rsidR="00F0743A" w:rsidRPr="000212FA" w:rsidRDefault="00F0743A" w:rsidP="003318FC">
            <w:pPr>
              <w:spacing w:after="0" w:line="240" w:lineRule="auto"/>
              <w:jc w:val="both"/>
              <w:rPr>
                <w:rFonts w:ascii="Times New Roman" w:eastAsia="Calibri" w:hAnsi="Times New Roman" w:cs="Times New Roman"/>
              </w:rPr>
            </w:pPr>
          </w:p>
        </w:tc>
        <w:tc>
          <w:tcPr>
            <w:tcW w:w="4253" w:type="dxa"/>
          </w:tcPr>
          <w:p w14:paraId="4D3C9541" w14:textId="5810499E" w:rsidR="00003573" w:rsidRPr="000212FA" w:rsidRDefault="00003573" w:rsidP="003318FC">
            <w:pPr>
              <w:spacing w:after="0" w:line="240" w:lineRule="auto"/>
              <w:jc w:val="both"/>
              <w:rPr>
                <w:rFonts w:ascii="Times New Roman" w:hAnsi="Times New Roman" w:cs="Times New Roman"/>
                <w:b/>
                <w:bCs/>
              </w:rPr>
            </w:pPr>
            <w:r w:rsidRPr="000212FA">
              <w:rPr>
                <w:rFonts w:ascii="Times New Roman" w:hAnsi="Times New Roman" w:cs="Times New Roman"/>
                <w:b/>
                <w:bCs/>
              </w:rPr>
              <w:t xml:space="preserve">Uwaga </w:t>
            </w:r>
            <w:r w:rsidR="00E85C0A" w:rsidRPr="000212FA">
              <w:rPr>
                <w:rFonts w:ascii="Times New Roman" w:hAnsi="Times New Roman" w:cs="Times New Roman"/>
                <w:b/>
                <w:bCs/>
              </w:rPr>
              <w:t>wyjaśniona</w:t>
            </w:r>
            <w:r w:rsidR="00DF199C" w:rsidRPr="000212FA">
              <w:rPr>
                <w:rFonts w:ascii="Times New Roman" w:hAnsi="Times New Roman" w:cs="Times New Roman"/>
                <w:b/>
                <w:bCs/>
              </w:rPr>
              <w:t>.</w:t>
            </w:r>
          </w:p>
          <w:p w14:paraId="1732C65D" w14:textId="77777777" w:rsidR="00003573" w:rsidRPr="000212FA" w:rsidRDefault="00003573" w:rsidP="003318FC">
            <w:pPr>
              <w:spacing w:after="0" w:line="240" w:lineRule="auto"/>
              <w:jc w:val="both"/>
              <w:rPr>
                <w:rFonts w:ascii="Times New Roman" w:hAnsi="Times New Roman" w:cs="Times New Roman"/>
              </w:rPr>
            </w:pPr>
          </w:p>
          <w:p w14:paraId="7EA9367C" w14:textId="18127D84" w:rsidR="00F0743A" w:rsidRPr="000212FA" w:rsidRDefault="00003573" w:rsidP="003318FC">
            <w:pPr>
              <w:spacing w:after="0" w:line="240" w:lineRule="auto"/>
              <w:jc w:val="both"/>
              <w:rPr>
                <w:rFonts w:ascii="Times New Roman" w:hAnsi="Times New Roman" w:cs="Times New Roman"/>
              </w:rPr>
            </w:pPr>
            <w:r w:rsidRPr="000212FA">
              <w:rPr>
                <w:rFonts w:ascii="Times New Roman" w:hAnsi="Times New Roman" w:cs="Times New Roman"/>
              </w:rPr>
              <w:t xml:space="preserve">Podtrzymujemy stanowisko, że projektowane zmiany nie będą generowały skutków </w:t>
            </w:r>
            <w:r w:rsidRPr="000212FA">
              <w:rPr>
                <w:rFonts w:ascii="Times New Roman" w:hAnsi="Times New Roman" w:cs="Times New Roman"/>
              </w:rPr>
              <w:lastRenderedPageBreak/>
              <w:t xml:space="preserve">finansowych, a tym samym OSR nie wymaga uzupełnienia. </w:t>
            </w:r>
          </w:p>
          <w:p w14:paraId="0A762EEC" w14:textId="6432BE37" w:rsidR="00D32A7A" w:rsidRPr="000212FA" w:rsidRDefault="00003573" w:rsidP="003318FC">
            <w:pPr>
              <w:spacing w:after="0" w:line="240" w:lineRule="auto"/>
              <w:jc w:val="both"/>
              <w:rPr>
                <w:rFonts w:ascii="Times New Roman" w:hAnsi="Times New Roman" w:cs="Times New Roman"/>
              </w:rPr>
            </w:pPr>
            <w:r w:rsidRPr="000212FA">
              <w:rPr>
                <w:rFonts w:ascii="Times New Roman" w:hAnsi="Times New Roman" w:cs="Times New Roman"/>
              </w:rPr>
              <w:t>Koszt zatrudnienia planowanej liczby lekarzy</w:t>
            </w:r>
            <w:r w:rsidR="006B3404" w:rsidRPr="000212FA">
              <w:rPr>
                <w:rFonts w:ascii="Times New Roman" w:hAnsi="Times New Roman" w:cs="Times New Roman"/>
              </w:rPr>
              <w:t>/osób wykonujących samodzielny zawód medyczny</w:t>
            </w:r>
            <w:r w:rsidRPr="000212FA">
              <w:rPr>
                <w:rFonts w:ascii="Times New Roman" w:hAnsi="Times New Roman" w:cs="Times New Roman"/>
              </w:rPr>
              <w:t xml:space="preserve"> </w:t>
            </w:r>
            <w:r w:rsidR="00D32A7A" w:rsidRPr="000212FA">
              <w:rPr>
                <w:rFonts w:ascii="Times New Roman" w:hAnsi="Times New Roman" w:cs="Times New Roman"/>
              </w:rPr>
              <w:t>będ</w:t>
            </w:r>
            <w:r w:rsidRPr="000212FA">
              <w:rPr>
                <w:rFonts w:ascii="Times New Roman" w:hAnsi="Times New Roman" w:cs="Times New Roman"/>
              </w:rPr>
              <w:t xml:space="preserve">zie finansowany </w:t>
            </w:r>
            <w:r w:rsidR="00D32A7A" w:rsidRPr="000212FA">
              <w:rPr>
                <w:rFonts w:ascii="Times New Roman" w:hAnsi="Times New Roman" w:cs="Times New Roman"/>
              </w:rPr>
              <w:t>ze środków</w:t>
            </w:r>
            <w:r w:rsidRPr="000212FA">
              <w:rPr>
                <w:rFonts w:ascii="Times New Roman" w:hAnsi="Times New Roman" w:cs="Times New Roman"/>
              </w:rPr>
              <w:t xml:space="preserve">, które </w:t>
            </w:r>
            <w:r w:rsidR="005B4A9A" w:rsidRPr="000212FA">
              <w:rPr>
                <w:rFonts w:ascii="Times New Roman" w:hAnsi="Times New Roman" w:cs="Times New Roman"/>
              </w:rPr>
              <w:t>ZUS</w:t>
            </w:r>
            <w:r w:rsidRPr="000212FA">
              <w:rPr>
                <w:rFonts w:ascii="Times New Roman" w:hAnsi="Times New Roman" w:cs="Times New Roman"/>
              </w:rPr>
              <w:t xml:space="preserve"> ma </w:t>
            </w:r>
            <w:r w:rsidR="00D32A7A" w:rsidRPr="000212FA">
              <w:rPr>
                <w:rFonts w:ascii="Times New Roman" w:hAnsi="Times New Roman" w:cs="Times New Roman"/>
              </w:rPr>
              <w:t>zabezpieczon</w:t>
            </w:r>
            <w:r w:rsidR="00653947" w:rsidRPr="000212FA">
              <w:rPr>
                <w:rFonts w:ascii="Times New Roman" w:hAnsi="Times New Roman" w:cs="Times New Roman"/>
              </w:rPr>
              <w:t>e</w:t>
            </w:r>
            <w:r w:rsidR="00D32A7A" w:rsidRPr="000212FA">
              <w:rPr>
                <w:rFonts w:ascii="Times New Roman" w:hAnsi="Times New Roman" w:cs="Times New Roman"/>
              </w:rPr>
              <w:t xml:space="preserve"> </w:t>
            </w:r>
            <w:r w:rsidR="006B3404" w:rsidRPr="000212FA">
              <w:rPr>
                <w:rFonts w:ascii="Times New Roman" w:hAnsi="Times New Roman" w:cs="Times New Roman"/>
              </w:rPr>
              <w:t xml:space="preserve">w ramach </w:t>
            </w:r>
            <w:r w:rsidR="00D32A7A" w:rsidRPr="000212FA">
              <w:rPr>
                <w:rFonts w:ascii="Times New Roman" w:hAnsi="Times New Roman" w:cs="Times New Roman"/>
              </w:rPr>
              <w:t>funduszu wynagrodze</w:t>
            </w:r>
            <w:r w:rsidRPr="000212FA">
              <w:rPr>
                <w:rFonts w:ascii="Times New Roman" w:hAnsi="Times New Roman" w:cs="Times New Roman"/>
              </w:rPr>
              <w:t xml:space="preserve">ń. Środki te </w:t>
            </w:r>
            <w:r w:rsidR="006B3404" w:rsidRPr="000212FA">
              <w:rPr>
                <w:rFonts w:ascii="Times New Roman" w:hAnsi="Times New Roman" w:cs="Times New Roman"/>
              </w:rPr>
              <w:t xml:space="preserve">pochodzą z </w:t>
            </w:r>
            <w:r w:rsidR="00D32A7A" w:rsidRPr="000212FA">
              <w:rPr>
                <w:rFonts w:ascii="Times New Roman" w:hAnsi="Times New Roman" w:cs="Times New Roman"/>
              </w:rPr>
              <w:t>niewykorzyst</w:t>
            </w:r>
            <w:r w:rsidR="006B3404" w:rsidRPr="000212FA">
              <w:rPr>
                <w:rFonts w:ascii="Times New Roman" w:hAnsi="Times New Roman" w:cs="Times New Roman"/>
              </w:rPr>
              <w:t>anych</w:t>
            </w:r>
            <w:r w:rsidR="007A0044" w:rsidRPr="000212FA">
              <w:rPr>
                <w:rFonts w:ascii="Times New Roman" w:hAnsi="Times New Roman" w:cs="Times New Roman"/>
              </w:rPr>
              <w:t xml:space="preserve"> </w:t>
            </w:r>
            <w:r w:rsidR="00D32A7A" w:rsidRPr="000212FA">
              <w:rPr>
                <w:rFonts w:ascii="Times New Roman" w:hAnsi="Times New Roman" w:cs="Times New Roman"/>
              </w:rPr>
              <w:t>3</w:t>
            </w:r>
            <w:r w:rsidR="007A7638" w:rsidRPr="000212FA">
              <w:rPr>
                <w:rFonts w:ascii="Times New Roman" w:hAnsi="Times New Roman" w:cs="Times New Roman"/>
              </w:rPr>
              <w:t>55</w:t>
            </w:r>
            <w:r w:rsidR="00D32A7A" w:rsidRPr="000212FA">
              <w:rPr>
                <w:rFonts w:ascii="Times New Roman" w:hAnsi="Times New Roman" w:cs="Times New Roman"/>
              </w:rPr>
              <w:t xml:space="preserve"> etatów</w:t>
            </w:r>
            <w:r w:rsidR="007A0044" w:rsidRPr="000212FA">
              <w:rPr>
                <w:rFonts w:ascii="Times New Roman" w:hAnsi="Times New Roman" w:cs="Times New Roman"/>
              </w:rPr>
              <w:t xml:space="preserve"> (etaty nieobsadzone)</w:t>
            </w:r>
            <w:r w:rsidR="00D32A7A" w:rsidRPr="000212FA">
              <w:rPr>
                <w:rFonts w:ascii="Times New Roman" w:hAnsi="Times New Roman" w:cs="Times New Roman"/>
              </w:rPr>
              <w:t xml:space="preserve">. </w:t>
            </w:r>
            <w:r w:rsidR="007A0044" w:rsidRPr="000212FA">
              <w:rPr>
                <w:rFonts w:ascii="Times New Roman" w:hAnsi="Times New Roman" w:cs="Times New Roman"/>
              </w:rPr>
              <w:t xml:space="preserve">Ministerstwo wskazuje, że przedmiotowe zagadnienie było szczegółowo dyskutowane na </w:t>
            </w:r>
            <w:r w:rsidR="00D32A7A" w:rsidRPr="000212FA">
              <w:rPr>
                <w:rFonts w:ascii="Times New Roman" w:hAnsi="Times New Roman" w:cs="Times New Roman"/>
              </w:rPr>
              <w:t xml:space="preserve">forum </w:t>
            </w:r>
            <w:r w:rsidR="003466C3" w:rsidRPr="000212FA">
              <w:rPr>
                <w:rFonts w:ascii="Times New Roman" w:hAnsi="Times New Roman" w:cs="Times New Roman"/>
              </w:rPr>
              <w:t xml:space="preserve">Zespołu ds. </w:t>
            </w:r>
            <w:r w:rsidR="0021767F" w:rsidRPr="000212FA">
              <w:rPr>
                <w:rFonts w:ascii="Times New Roman" w:hAnsi="Times New Roman" w:cs="Times New Roman"/>
              </w:rPr>
              <w:t>P</w:t>
            </w:r>
            <w:r w:rsidR="00D32A7A" w:rsidRPr="000212FA">
              <w:rPr>
                <w:rFonts w:ascii="Times New Roman" w:hAnsi="Times New Roman" w:cs="Times New Roman"/>
              </w:rPr>
              <w:t xml:space="preserve">rogramowania </w:t>
            </w:r>
            <w:r w:rsidR="0021767F" w:rsidRPr="000212FA">
              <w:rPr>
                <w:rFonts w:ascii="Times New Roman" w:hAnsi="Times New Roman" w:cs="Times New Roman"/>
              </w:rPr>
              <w:t>P</w:t>
            </w:r>
            <w:r w:rsidR="00D32A7A" w:rsidRPr="000212FA">
              <w:rPr>
                <w:rFonts w:ascii="Times New Roman" w:hAnsi="Times New Roman" w:cs="Times New Roman"/>
              </w:rPr>
              <w:t xml:space="preserve">rac </w:t>
            </w:r>
            <w:r w:rsidR="0021767F" w:rsidRPr="000212FA">
              <w:rPr>
                <w:rFonts w:ascii="Times New Roman" w:hAnsi="Times New Roman" w:cs="Times New Roman"/>
              </w:rPr>
              <w:t>R</w:t>
            </w:r>
            <w:r w:rsidR="00D32A7A" w:rsidRPr="000212FA">
              <w:rPr>
                <w:rFonts w:ascii="Times New Roman" w:hAnsi="Times New Roman" w:cs="Times New Roman"/>
              </w:rPr>
              <w:t>ządu</w:t>
            </w:r>
            <w:r w:rsidR="000549D3" w:rsidRPr="000212FA">
              <w:rPr>
                <w:rFonts w:ascii="Times New Roman" w:hAnsi="Times New Roman" w:cs="Times New Roman"/>
              </w:rPr>
              <w:t>.</w:t>
            </w:r>
          </w:p>
        </w:tc>
      </w:tr>
      <w:tr w:rsidR="00F0743A" w:rsidRPr="000212FA" w14:paraId="34A68262" w14:textId="77777777" w:rsidTr="003318FC">
        <w:tc>
          <w:tcPr>
            <w:tcW w:w="567" w:type="dxa"/>
          </w:tcPr>
          <w:p w14:paraId="13AB9567" w14:textId="77777777" w:rsidR="00F0743A" w:rsidRPr="000212FA" w:rsidRDefault="00F0743A" w:rsidP="003318FC">
            <w:pPr>
              <w:pStyle w:val="Akapitzlist"/>
              <w:numPr>
                <w:ilvl w:val="0"/>
                <w:numId w:val="1"/>
              </w:numPr>
              <w:spacing w:after="0" w:line="240" w:lineRule="auto"/>
              <w:ind w:left="0" w:firstLine="0"/>
              <w:jc w:val="both"/>
              <w:rPr>
                <w:rFonts w:ascii="Times New Roman" w:hAnsi="Times New Roman" w:cs="Times New Roman"/>
                <w:b/>
              </w:rPr>
            </w:pPr>
          </w:p>
        </w:tc>
        <w:tc>
          <w:tcPr>
            <w:tcW w:w="1418" w:type="dxa"/>
            <w:vAlign w:val="center"/>
          </w:tcPr>
          <w:p w14:paraId="388F5521" w14:textId="10DB09EB" w:rsidR="00F0743A" w:rsidRPr="000212FA" w:rsidRDefault="00F0743A" w:rsidP="003318FC">
            <w:pPr>
              <w:spacing w:after="0" w:line="240" w:lineRule="auto"/>
              <w:jc w:val="both"/>
              <w:rPr>
                <w:rFonts w:ascii="Times New Roman" w:hAnsi="Times New Roman" w:cs="Times New Roman"/>
              </w:rPr>
            </w:pPr>
            <w:r w:rsidRPr="000212FA">
              <w:rPr>
                <w:rFonts w:ascii="Times New Roman" w:hAnsi="Times New Roman" w:cs="Times New Roman"/>
              </w:rPr>
              <w:t>OSR</w:t>
            </w:r>
          </w:p>
        </w:tc>
        <w:tc>
          <w:tcPr>
            <w:tcW w:w="1559" w:type="dxa"/>
            <w:vAlign w:val="center"/>
          </w:tcPr>
          <w:p w14:paraId="6DC19C1E" w14:textId="411E676F" w:rsidR="00F0743A" w:rsidRPr="000212FA" w:rsidRDefault="00F0743A" w:rsidP="003318FC">
            <w:pPr>
              <w:spacing w:after="0" w:line="240" w:lineRule="auto"/>
              <w:jc w:val="both"/>
              <w:rPr>
                <w:rFonts w:ascii="Times New Roman" w:hAnsi="Times New Roman" w:cs="Times New Roman"/>
              </w:rPr>
            </w:pPr>
            <w:r w:rsidRPr="000212FA">
              <w:rPr>
                <w:rFonts w:ascii="Times New Roman" w:hAnsi="Times New Roman" w:cs="Times New Roman"/>
              </w:rPr>
              <w:t>MS</w:t>
            </w:r>
          </w:p>
        </w:tc>
        <w:tc>
          <w:tcPr>
            <w:tcW w:w="4536" w:type="dxa"/>
          </w:tcPr>
          <w:p w14:paraId="0C032EFD" w14:textId="77777777" w:rsidR="006A0D00" w:rsidRPr="000212FA" w:rsidRDefault="006A0D00" w:rsidP="003318FC">
            <w:pPr>
              <w:autoSpaceDE w:val="0"/>
              <w:autoSpaceDN w:val="0"/>
              <w:adjustRightInd w:val="0"/>
              <w:spacing w:after="0" w:line="240" w:lineRule="auto"/>
              <w:jc w:val="both"/>
              <w:rPr>
                <w:rFonts w:ascii="Times New Roman" w:hAnsi="Times New Roman" w:cs="Times New Roman"/>
              </w:rPr>
            </w:pPr>
            <w:r w:rsidRPr="000212FA">
              <w:rPr>
                <w:rFonts w:ascii="Times New Roman" w:hAnsi="Times New Roman" w:cs="Times New Roman"/>
              </w:rPr>
              <w:t xml:space="preserve">Projektodawca w wyniku poszerzenia katalogu decyzji Zakładu Ubezpieczeń Społecznych o skierowanie na rehabilitacją leczniczą w ramach prewencji rentowej przewidziane w projektowanym art. 83 ust. 1 pkt 6 ustawy zmienianej w art. 1 projektu, od których służą odwołania do właściwego sądu, rozszerzył zakres kognicji sądów powszechnych o rozstrzyganie w sprawach </w:t>
            </w:r>
            <w:proofErr w:type="spellStart"/>
            <w:r w:rsidRPr="000212FA">
              <w:rPr>
                <w:rFonts w:ascii="Times New Roman" w:hAnsi="Times New Roman" w:cs="Times New Roman"/>
              </w:rPr>
              <w:t>odwołań</w:t>
            </w:r>
            <w:proofErr w:type="spellEnd"/>
            <w:r w:rsidRPr="000212FA">
              <w:rPr>
                <w:rFonts w:ascii="Times New Roman" w:hAnsi="Times New Roman" w:cs="Times New Roman"/>
              </w:rPr>
              <w:t xml:space="preserve"> od tych decyzji. Biorąc pod uwagą dane zamieszczone w OSR, że na około 71 000 wniosków o rehabilitacją, negatywnie rozpatrzono: 1 200 wniosków (odmowy formalne) i 21 800 wniosków (odmowy orzecznicze), niezbędne dla wejścia w życie zaproponowanej regulacji jest pozyskanie kadry orzeczniczej i urzędniczej. W zakresie ograniczonym do niezbędnego minimum niezbędnym jest pozyskanie co najmniej: 59 etatów sędziowskich, 59 asystenckich i 118 urzędniczych. Trafiłyby one – w proporcji:</w:t>
            </w:r>
          </w:p>
          <w:p w14:paraId="712E64C4" w14:textId="77777777" w:rsidR="006A0D00" w:rsidRPr="000212FA" w:rsidRDefault="006A0D00" w:rsidP="003318FC">
            <w:pPr>
              <w:autoSpaceDE w:val="0"/>
              <w:autoSpaceDN w:val="0"/>
              <w:adjustRightInd w:val="0"/>
              <w:spacing w:after="0" w:line="240" w:lineRule="auto"/>
              <w:jc w:val="both"/>
              <w:rPr>
                <w:rFonts w:ascii="Times New Roman" w:hAnsi="Times New Roman" w:cs="Times New Roman"/>
              </w:rPr>
            </w:pPr>
            <w:r w:rsidRPr="000212FA">
              <w:rPr>
                <w:rFonts w:ascii="Times New Roman" w:hAnsi="Times New Roman" w:cs="Times New Roman"/>
              </w:rPr>
              <w:t xml:space="preserve">a) do pionu pracy i ubezpieczeń społecznych na szczeblu sądów okręgowych – 12 etatów sędziowskich, 12 etatów asystenckich oraz 24 </w:t>
            </w:r>
            <w:r w:rsidRPr="000212FA">
              <w:rPr>
                <w:rFonts w:ascii="Times New Roman" w:hAnsi="Times New Roman" w:cs="Times New Roman"/>
              </w:rPr>
              <w:lastRenderedPageBreak/>
              <w:t>etaty urzędnicze, do sądów okręgowych (w proporcji 1:1:2) posiadających siedzibą w miastach, w których siedziby posiadają również sądy apelacyjne (w Warszawie znajdują sią dwa sądy okręgowe),</w:t>
            </w:r>
          </w:p>
          <w:p w14:paraId="0B8B0CB4" w14:textId="77777777" w:rsidR="00161BA8" w:rsidRPr="000212FA" w:rsidRDefault="006A0D00" w:rsidP="003318FC">
            <w:pPr>
              <w:spacing w:after="0" w:line="240" w:lineRule="auto"/>
              <w:jc w:val="both"/>
              <w:rPr>
                <w:rFonts w:ascii="Times New Roman" w:hAnsi="Times New Roman" w:cs="Times New Roman"/>
              </w:rPr>
            </w:pPr>
            <w:r w:rsidRPr="000212FA">
              <w:rPr>
                <w:rFonts w:ascii="Times New Roman" w:hAnsi="Times New Roman" w:cs="Times New Roman"/>
              </w:rPr>
              <w:t xml:space="preserve">b) do pionu pracy i ubezpieczeń społecznych na szczeblu sądów rejonowych – 47 etatów sędziowskich, 47 etatów asystenckich oraz 94 etaty urzędnicze, do najbardziej obciążonych sądów rejonowych (w proporcji 1:1:2) posiadających siedzibą w miastach, w których siedziby posiadają również sądy apelacyjne. </w:t>
            </w:r>
          </w:p>
          <w:p w14:paraId="0622959A" w14:textId="77777777" w:rsidR="00161BA8" w:rsidRPr="000212FA" w:rsidRDefault="006A0D00" w:rsidP="003318FC">
            <w:pPr>
              <w:spacing w:after="0" w:line="240" w:lineRule="auto"/>
              <w:jc w:val="both"/>
              <w:rPr>
                <w:rFonts w:ascii="Times New Roman" w:hAnsi="Times New Roman" w:cs="Times New Roman"/>
              </w:rPr>
            </w:pPr>
            <w:r w:rsidRPr="000212FA">
              <w:rPr>
                <w:rFonts w:ascii="Times New Roman" w:hAnsi="Times New Roman" w:cs="Times New Roman"/>
              </w:rPr>
              <w:t xml:space="preserve">Wejście w życie projektowanego aktu prawnego spowoduje w roku 2026 skutki finansowe dla budżetu państwa w części 15 Sądy powszechne w łącznej wysokości 42 136 924 zł. Podkreślić w tym miejscu należy, że powyższe etaty stanowią najbardziej niezbędne potrzeby i są konieczne dla zachowania sprawności postępowania na wskazanych szczeblach sądownictwa powszechnego, albowiem specyfika spraw objętych treścią omawianej regulacji powoduje wymóg ich szybkiego rozpoznania. </w:t>
            </w:r>
          </w:p>
          <w:p w14:paraId="4CB1332E" w14:textId="77777777" w:rsidR="00161BA8" w:rsidRPr="000212FA" w:rsidRDefault="006A0D00" w:rsidP="003318FC">
            <w:pPr>
              <w:spacing w:after="0" w:line="240" w:lineRule="auto"/>
              <w:jc w:val="both"/>
              <w:rPr>
                <w:rFonts w:ascii="Times New Roman" w:hAnsi="Times New Roman" w:cs="Times New Roman"/>
              </w:rPr>
            </w:pPr>
            <w:r w:rsidRPr="000212FA">
              <w:rPr>
                <w:rFonts w:ascii="Times New Roman" w:hAnsi="Times New Roman" w:cs="Times New Roman"/>
              </w:rPr>
              <w:t>W pkt 4 OSR Podmioty, na które oddziałuje projekt w kolumnie Grupa należy dodać sądownictwo powszechne, w kolumnie Wielkość Stan na 30.06.2024 r.: - 11 sądów apelacyjnych, 47 sądów okręgowych i 319 sądów rejonowych, w kolumnie źródło danych – informacja ogólnodostępna, w kolumnie Oddziaływanie – wzrost liczby spraw trafiających do sądów. Podobnie należy uzupełni</w:t>
            </w:r>
            <w:r w:rsidR="00161BA8" w:rsidRPr="000212FA">
              <w:rPr>
                <w:rFonts w:ascii="Times New Roman" w:hAnsi="Times New Roman" w:cs="Times New Roman"/>
              </w:rPr>
              <w:t>ć</w:t>
            </w:r>
            <w:r w:rsidRPr="000212FA">
              <w:rPr>
                <w:rFonts w:ascii="Times New Roman" w:hAnsi="Times New Roman" w:cs="Times New Roman"/>
              </w:rPr>
              <w:t xml:space="preserve"> pkt 7. </w:t>
            </w:r>
          </w:p>
          <w:p w14:paraId="378F0F87" w14:textId="75F98783" w:rsidR="00F0743A" w:rsidRPr="000212FA" w:rsidRDefault="006A0D00" w:rsidP="003318FC">
            <w:pPr>
              <w:spacing w:after="0" w:line="240" w:lineRule="auto"/>
              <w:jc w:val="both"/>
              <w:rPr>
                <w:rFonts w:ascii="Times New Roman" w:hAnsi="Times New Roman" w:cs="Times New Roman"/>
              </w:rPr>
            </w:pPr>
            <w:r w:rsidRPr="000212FA">
              <w:rPr>
                <w:rFonts w:ascii="Times New Roman" w:hAnsi="Times New Roman" w:cs="Times New Roman"/>
              </w:rPr>
              <w:t>Dane w pkt 6 OSR Wpływ na sektor finansów publicznych, należy uzupełni</w:t>
            </w:r>
            <w:r w:rsidR="00161BA8" w:rsidRPr="000212FA">
              <w:rPr>
                <w:rFonts w:ascii="Times New Roman" w:hAnsi="Times New Roman" w:cs="Times New Roman"/>
              </w:rPr>
              <w:t>ć</w:t>
            </w:r>
            <w:r w:rsidRPr="000212FA">
              <w:rPr>
                <w:rFonts w:ascii="Times New Roman" w:hAnsi="Times New Roman" w:cs="Times New Roman"/>
              </w:rPr>
              <w:t xml:space="preserve"> stosownie do ww. wyrażonej uwagi.</w:t>
            </w:r>
          </w:p>
        </w:tc>
        <w:tc>
          <w:tcPr>
            <w:tcW w:w="3402" w:type="dxa"/>
            <w:vAlign w:val="center"/>
          </w:tcPr>
          <w:p w14:paraId="065385CA" w14:textId="77777777" w:rsidR="00F0743A" w:rsidRPr="000212FA" w:rsidRDefault="00F0743A" w:rsidP="003318FC">
            <w:pPr>
              <w:spacing w:after="0" w:line="240" w:lineRule="auto"/>
              <w:jc w:val="both"/>
              <w:rPr>
                <w:rFonts w:ascii="Times New Roman" w:eastAsia="Calibri" w:hAnsi="Times New Roman" w:cs="Times New Roman"/>
              </w:rPr>
            </w:pPr>
          </w:p>
        </w:tc>
        <w:tc>
          <w:tcPr>
            <w:tcW w:w="4253" w:type="dxa"/>
          </w:tcPr>
          <w:p w14:paraId="413D5542" w14:textId="3A90ABF8" w:rsidR="00F0743A" w:rsidRPr="000212FA" w:rsidRDefault="00A74D29" w:rsidP="003318FC">
            <w:pPr>
              <w:spacing w:after="0" w:line="240" w:lineRule="auto"/>
              <w:jc w:val="both"/>
              <w:rPr>
                <w:rFonts w:ascii="Times New Roman" w:hAnsi="Times New Roman" w:cs="Times New Roman"/>
                <w:b/>
                <w:bCs/>
              </w:rPr>
            </w:pPr>
            <w:r w:rsidRPr="000212FA">
              <w:rPr>
                <w:rFonts w:ascii="Times New Roman" w:hAnsi="Times New Roman" w:cs="Times New Roman"/>
                <w:b/>
                <w:bCs/>
              </w:rPr>
              <w:t xml:space="preserve">Uwaga </w:t>
            </w:r>
            <w:r w:rsidR="005D7874" w:rsidRPr="000212FA">
              <w:rPr>
                <w:rFonts w:ascii="Times New Roman" w:hAnsi="Times New Roman" w:cs="Times New Roman"/>
                <w:b/>
                <w:bCs/>
              </w:rPr>
              <w:t>nieuwzględniona</w:t>
            </w:r>
            <w:r w:rsidRPr="000212FA">
              <w:rPr>
                <w:rFonts w:ascii="Times New Roman" w:hAnsi="Times New Roman" w:cs="Times New Roman"/>
                <w:b/>
                <w:bCs/>
              </w:rPr>
              <w:t>.</w:t>
            </w:r>
          </w:p>
          <w:p w14:paraId="2983F122" w14:textId="77777777" w:rsidR="00270037" w:rsidRPr="000212FA" w:rsidRDefault="00270037" w:rsidP="003318FC">
            <w:pPr>
              <w:spacing w:after="0" w:line="240" w:lineRule="auto"/>
              <w:jc w:val="both"/>
              <w:rPr>
                <w:rFonts w:ascii="Times New Roman" w:hAnsi="Times New Roman" w:cs="Times New Roman"/>
              </w:rPr>
            </w:pPr>
          </w:p>
          <w:p w14:paraId="44AB3E86" w14:textId="64E5B4AA" w:rsidR="00270037" w:rsidRPr="000212FA" w:rsidRDefault="004D3767" w:rsidP="003318FC">
            <w:pPr>
              <w:spacing w:after="0" w:line="240" w:lineRule="auto"/>
              <w:jc w:val="both"/>
              <w:rPr>
                <w:rFonts w:ascii="Times New Roman" w:hAnsi="Times New Roman" w:cs="Times New Roman"/>
              </w:rPr>
            </w:pPr>
            <w:r w:rsidRPr="000212FA">
              <w:rPr>
                <w:rFonts w:ascii="Times New Roman" w:hAnsi="Times New Roman" w:cs="Times New Roman"/>
              </w:rPr>
              <w:t>N</w:t>
            </w:r>
            <w:r w:rsidR="00A74D29" w:rsidRPr="000212FA">
              <w:rPr>
                <w:rFonts w:ascii="Times New Roman" w:hAnsi="Times New Roman" w:cs="Times New Roman"/>
              </w:rPr>
              <w:t xml:space="preserve">a przestrzeni ostatnich kliku lat zauważalny jest trend spadkowy </w:t>
            </w:r>
            <w:r w:rsidR="006F18C7" w:rsidRPr="000212FA">
              <w:rPr>
                <w:rFonts w:ascii="Times New Roman" w:hAnsi="Times New Roman" w:cs="Times New Roman"/>
              </w:rPr>
              <w:t xml:space="preserve">ogólnej </w:t>
            </w:r>
            <w:r w:rsidR="00A74D29" w:rsidRPr="000212FA">
              <w:rPr>
                <w:rFonts w:ascii="Times New Roman" w:hAnsi="Times New Roman" w:cs="Times New Roman"/>
              </w:rPr>
              <w:t xml:space="preserve">liczby </w:t>
            </w:r>
            <w:r w:rsidR="004E7C06" w:rsidRPr="000212FA">
              <w:rPr>
                <w:rFonts w:ascii="Times New Roman" w:hAnsi="Times New Roman" w:cs="Times New Roman"/>
              </w:rPr>
              <w:t xml:space="preserve">ubezpieczeniowych </w:t>
            </w:r>
            <w:r w:rsidR="00A74D29" w:rsidRPr="000212FA">
              <w:rPr>
                <w:rFonts w:ascii="Times New Roman" w:hAnsi="Times New Roman" w:cs="Times New Roman"/>
              </w:rPr>
              <w:t>spraw odwoławczych</w:t>
            </w:r>
            <w:r w:rsidRPr="000212FA">
              <w:rPr>
                <w:rFonts w:ascii="Times New Roman" w:hAnsi="Times New Roman" w:cs="Times New Roman"/>
              </w:rPr>
              <w:t xml:space="preserve">. W ocenie Ministerstwa </w:t>
            </w:r>
            <w:r w:rsidR="004E7C06" w:rsidRPr="000212FA">
              <w:rPr>
                <w:rFonts w:ascii="Times New Roman" w:hAnsi="Times New Roman" w:cs="Times New Roman"/>
              </w:rPr>
              <w:t xml:space="preserve">rozszerzenie </w:t>
            </w:r>
            <w:r w:rsidRPr="000212FA">
              <w:rPr>
                <w:rFonts w:ascii="Times New Roman" w:hAnsi="Times New Roman" w:cs="Times New Roman"/>
              </w:rPr>
              <w:t>katalogu rozstrzygnięć wydawanych przez ZUS</w:t>
            </w:r>
            <w:r w:rsidR="004E7C06" w:rsidRPr="000212FA">
              <w:rPr>
                <w:rFonts w:ascii="Times New Roman" w:hAnsi="Times New Roman" w:cs="Times New Roman"/>
              </w:rPr>
              <w:t xml:space="preserve">, od których przysługuje odwołanie, o </w:t>
            </w:r>
            <w:r w:rsidRPr="000212FA">
              <w:rPr>
                <w:rFonts w:ascii="Times New Roman" w:hAnsi="Times New Roman" w:cs="Times New Roman"/>
              </w:rPr>
              <w:t>decyzj</w:t>
            </w:r>
            <w:r w:rsidR="004E7C06" w:rsidRPr="000212FA">
              <w:rPr>
                <w:rFonts w:ascii="Times New Roman" w:hAnsi="Times New Roman" w:cs="Times New Roman"/>
              </w:rPr>
              <w:t>ę</w:t>
            </w:r>
            <w:r w:rsidRPr="000212FA">
              <w:rPr>
                <w:rFonts w:ascii="Times New Roman" w:hAnsi="Times New Roman" w:cs="Times New Roman"/>
              </w:rPr>
              <w:t xml:space="preserve"> o skierowani</w:t>
            </w:r>
            <w:r w:rsidR="00A04E94" w:rsidRPr="000212FA">
              <w:rPr>
                <w:rFonts w:ascii="Times New Roman" w:hAnsi="Times New Roman" w:cs="Times New Roman"/>
              </w:rPr>
              <w:t>u</w:t>
            </w:r>
            <w:r w:rsidRPr="000212FA">
              <w:rPr>
                <w:rFonts w:ascii="Times New Roman" w:hAnsi="Times New Roman" w:cs="Times New Roman"/>
              </w:rPr>
              <w:t xml:space="preserve"> na rehabilitację leczniczą w ramach prewencji rentowej, nie powinno </w:t>
            </w:r>
            <w:r w:rsidR="00A04E94" w:rsidRPr="000212FA">
              <w:rPr>
                <w:rFonts w:ascii="Times New Roman" w:hAnsi="Times New Roman" w:cs="Times New Roman"/>
              </w:rPr>
              <w:t xml:space="preserve">zatem </w:t>
            </w:r>
            <w:r w:rsidRPr="000212FA">
              <w:rPr>
                <w:rFonts w:ascii="Times New Roman" w:hAnsi="Times New Roman" w:cs="Times New Roman"/>
              </w:rPr>
              <w:t xml:space="preserve">spowodować ponadnormatywnego obciążenia </w:t>
            </w:r>
            <w:r w:rsidR="004E7C06" w:rsidRPr="000212FA">
              <w:rPr>
                <w:rFonts w:ascii="Times New Roman" w:hAnsi="Times New Roman" w:cs="Times New Roman"/>
              </w:rPr>
              <w:t xml:space="preserve">pracą </w:t>
            </w:r>
            <w:r w:rsidR="00A03AB3" w:rsidRPr="000212FA">
              <w:rPr>
                <w:rFonts w:ascii="Times New Roman" w:hAnsi="Times New Roman" w:cs="Times New Roman"/>
              </w:rPr>
              <w:t>sądów.</w:t>
            </w:r>
            <w:r w:rsidR="00F96FB9" w:rsidRPr="000212FA">
              <w:rPr>
                <w:rFonts w:ascii="Times New Roman" w:hAnsi="Times New Roman" w:cs="Times New Roman"/>
              </w:rPr>
              <w:t xml:space="preserve"> </w:t>
            </w:r>
          </w:p>
          <w:p w14:paraId="6B363D78" w14:textId="77777777" w:rsidR="00C978A6" w:rsidRPr="000212FA" w:rsidRDefault="003646F1" w:rsidP="003318FC">
            <w:pPr>
              <w:spacing w:after="0" w:line="240" w:lineRule="auto"/>
              <w:jc w:val="both"/>
              <w:rPr>
                <w:rFonts w:ascii="Times New Roman" w:hAnsi="Times New Roman" w:cs="Times New Roman"/>
              </w:rPr>
            </w:pPr>
            <w:r w:rsidRPr="000212FA">
              <w:rPr>
                <w:rFonts w:ascii="Times New Roman" w:hAnsi="Times New Roman" w:cs="Times New Roman"/>
              </w:rPr>
              <w:t xml:space="preserve">Ponieważ przepisy </w:t>
            </w:r>
            <w:r w:rsidR="00A74D29" w:rsidRPr="000212FA">
              <w:rPr>
                <w:rFonts w:ascii="Times New Roman" w:hAnsi="Times New Roman" w:cs="Times New Roman"/>
              </w:rPr>
              <w:t xml:space="preserve">Kodeksu postępowania cywilnego </w:t>
            </w:r>
            <w:r w:rsidR="00270037" w:rsidRPr="000212FA">
              <w:rPr>
                <w:rFonts w:ascii="Times New Roman" w:hAnsi="Times New Roman" w:cs="Times New Roman"/>
              </w:rPr>
              <w:t xml:space="preserve">nie </w:t>
            </w:r>
            <w:r w:rsidR="00A74D29" w:rsidRPr="000212FA">
              <w:rPr>
                <w:rFonts w:ascii="Times New Roman" w:hAnsi="Times New Roman" w:cs="Times New Roman"/>
              </w:rPr>
              <w:t xml:space="preserve">określają </w:t>
            </w:r>
            <w:r w:rsidR="00270037" w:rsidRPr="000212FA">
              <w:rPr>
                <w:rFonts w:ascii="Times New Roman" w:hAnsi="Times New Roman" w:cs="Times New Roman"/>
              </w:rPr>
              <w:t xml:space="preserve">czasu rozpoznania spraw (brak terminów), </w:t>
            </w:r>
            <w:r w:rsidRPr="000212FA">
              <w:rPr>
                <w:rFonts w:ascii="Times New Roman" w:hAnsi="Times New Roman" w:cs="Times New Roman"/>
              </w:rPr>
              <w:t xml:space="preserve">ewentualną konsekwencją </w:t>
            </w:r>
            <w:r w:rsidR="00C978A6" w:rsidRPr="000212FA">
              <w:rPr>
                <w:rFonts w:ascii="Times New Roman" w:hAnsi="Times New Roman" w:cs="Times New Roman"/>
              </w:rPr>
              <w:t xml:space="preserve">zwiększonego obciążenia pracą może być jedynie </w:t>
            </w:r>
            <w:r w:rsidR="00270037" w:rsidRPr="000212FA">
              <w:rPr>
                <w:rFonts w:ascii="Times New Roman" w:hAnsi="Times New Roman" w:cs="Times New Roman"/>
              </w:rPr>
              <w:t>wydłuż</w:t>
            </w:r>
            <w:r w:rsidR="00C978A6" w:rsidRPr="000212FA">
              <w:rPr>
                <w:rFonts w:ascii="Times New Roman" w:hAnsi="Times New Roman" w:cs="Times New Roman"/>
              </w:rPr>
              <w:t>enie</w:t>
            </w:r>
            <w:r w:rsidR="00270037" w:rsidRPr="000212FA">
              <w:rPr>
                <w:rFonts w:ascii="Times New Roman" w:hAnsi="Times New Roman" w:cs="Times New Roman"/>
              </w:rPr>
              <w:t xml:space="preserve"> czasookres</w:t>
            </w:r>
            <w:r w:rsidR="00C978A6" w:rsidRPr="000212FA">
              <w:rPr>
                <w:rFonts w:ascii="Times New Roman" w:hAnsi="Times New Roman" w:cs="Times New Roman"/>
              </w:rPr>
              <w:t>u</w:t>
            </w:r>
            <w:r w:rsidR="00270037" w:rsidRPr="000212FA">
              <w:rPr>
                <w:rFonts w:ascii="Times New Roman" w:hAnsi="Times New Roman" w:cs="Times New Roman"/>
              </w:rPr>
              <w:t xml:space="preserve"> </w:t>
            </w:r>
            <w:r w:rsidR="00C978A6" w:rsidRPr="000212FA">
              <w:rPr>
                <w:rFonts w:ascii="Times New Roman" w:hAnsi="Times New Roman" w:cs="Times New Roman"/>
              </w:rPr>
              <w:t xml:space="preserve">ich </w:t>
            </w:r>
            <w:r w:rsidR="00270037" w:rsidRPr="000212FA">
              <w:rPr>
                <w:rFonts w:ascii="Times New Roman" w:hAnsi="Times New Roman" w:cs="Times New Roman"/>
              </w:rPr>
              <w:t xml:space="preserve">rozpoznania. </w:t>
            </w:r>
          </w:p>
          <w:p w14:paraId="4D403E65" w14:textId="0BC7B382" w:rsidR="00270037" w:rsidRPr="000212FA" w:rsidRDefault="00B255B6" w:rsidP="003318FC">
            <w:pPr>
              <w:spacing w:after="0" w:line="240" w:lineRule="auto"/>
              <w:jc w:val="both"/>
              <w:rPr>
                <w:rFonts w:ascii="Times New Roman" w:hAnsi="Times New Roman" w:cs="Times New Roman"/>
              </w:rPr>
            </w:pPr>
            <w:r w:rsidRPr="000212FA">
              <w:rPr>
                <w:rFonts w:ascii="Times New Roman" w:hAnsi="Times New Roman" w:cs="Times New Roman"/>
              </w:rPr>
              <w:t>Wątpliwości może budzić podana przez Ministerstwo Sprawiedliwości minimalna liczba etatów niezbędna do obsługi nowego zadania, oszacowana na poziomie 236 etatów. Z danych uzyskanych z </w:t>
            </w:r>
            <w:r w:rsidR="005B4A9A" w:rsidRPr="000212FA">
              <w:rPr>
                <w:rFonts w:ascii="Times New Roman" w:hAnsi="Times New Roman" w:cs="Times New Roman"/>
              </w:rPr>
              <w:t>ZUS</w:t>
            </w:r>
            <w:r w:rsidRPr="000212FA">
              <w:rPr>
                <w:rFonts w:ascii="Times New Roman" w:hAnsi="Times New Roman" w:cs="Times New Roman"/>
              </w:rPr>
              <w:t xml:space="preserve"> wynika, że </w:t>
            </w:r>
            <w:r w:rsidRPr="000212FA">
              <w:rPr>
                <w:rFonts w:ascii="Times New Roman" w:hAnsi="Times New Roman" w:cs="Times New Roman"/>
              </w:rPr>
              <w:lastRenderedPageBreak/>
              <w:t xml:space="preserve">obecnie zadania związane z kierowaniem na rehabilitację leczniczą są realizowane w ramach 90 etatów: w 38 oddziałach ZUS w ramach  85 etatów i w Centrali ZUS w ramach 5 etatów. Z powyższego wynika zatem, że liczba osób, które miałyby się zajmować w sądach </w:t>
            </w:r>
            <w:proofErr w:type="spellStart"/>
            <w:r w:rsidRPr="000212FA">
              <w:rPr>
                <w:rFonts w:ascii="Times New Roman" w:hAnsi="Times New Roman" w:cs="Times New Roman"/>
              </w:rPr>
              <w:t>odwołaniami</w:t>
            </w:r>
            <w:proofErr w:type="spellEnd"/>
            <w:r w:rsidRPr="000212FA">
              <w:rPr>
                <w:rFonts w:ascii="Times New Roman" w:hAnsi="Times New Roman" w:cs="Times New Roman"/>
              </w:rPr>
              <w:t xml:space="preserve"> od decyzji ZUS, jest niewspółmiernie wysoka w porównaniu do liczby pracowników ZUS obecnie w sposób kompleksowy rozpatrujących wnioski o rehabilitację leczniczą w ramach prewencji rentowej.</w:t>
            </w:r>
          </w:p>
        </w:tc>
      </w:tr>
      <w:tr w:rsidR="00F0743A" w:rsidRPr="000212FA" w14:paraId="4D415D35" w14:textId="77777777" w:rsidTr="003318FC">
        <w:tc>
          <w:tcPr>
            <w:tcW w:w="567" w:type="dxa"/>
          </w:tcPr>
          <w:p w14:paraId="644A2B9F" w14:textId="77777777" w:rsidR="00F0743A" w:rsidRPr="000212FA" w:rsidRDefault="00F0743A" w:rsidP="003318FC">
            <w:pPr>
              <w:pStyle w:val="Akapitzlist"/>
              <w:numPr>
                <w:ilvl w:val="0"/>
                <w:numId w:val="1"/>
              </w:numPr>
              <w:spacing w:after="0" w:line="240" w:lineRule="auto"/>
              <w:ind w:left="0" w:firstLine="0"/>
              <w:jc w:val="both"/>
              <w:rPr>
                <w:rFonts w:ascii="Times New Roman" w:hAnsi="Times New Roman" w:cs="Times New Roman"/>
                <w:b/>
              </w:rPr>
            </w:pPr>
          </w:p>
        </w:tc>
        <w:tc>
          <w:tcPr>
            <w:tcW w:w="1418" w:type="dxa"/>
            <w:vAlign w:val="center"/>
          </w:tcPr>
          <w:p w14:paraId="0C785E96" w14:textId="6E449195" w:rsidR="00F0743A" w:rsidRPr="000212FA" w:rsidRDefault="0088551D" w:rsidP="003318FC">
            <w:pPr>
              <w:spacing w:after="0" w:line="240" w:lineRule="auto"/>
              <w:jc w:val="both"/>
              <w:rPr>
                <w:rFonts w:ascii="Times New Roman" w:hAnsi="Times New Roman" w:cs="Times New Roman"/>
              </w:rPr>
            </w:pPr>
            <w:r w:rsidRPr="000212FA">
              <w:rPr>
                <w:rFonts w:ascii="Times New Roman" w:hAnsi="Times New Roman" w:cs="Times New Roman"/>
              </w:rPr>
              <w:t>OSR</w:t>
            </w:r>
          </w:p>
        </w:tc>
        <w:tc>
          <w:tcPr>
            <w:tcW w:w="1559" w:type="dxa"/>
            <w:vAlign w:val="center"/>
          </w:tcPr>
          <w:p w14:paraId="7684DC6F" w14:textId="77777777" w:rsidR="0088551D" w:rsidRPr="000212FA" w:rsidRDefault="0088551D" w:rsidP="003318FC">
            <w:pPr>
              <w:spacing w:after="0" w:line="240" w:lineRule="auto"/>
              <w:jc w:val="both"/>
              <w:rPr>
                <w:rFonts w:ascii="Times New Roman" w:hAnsi="Times New Roman" w:cs="Times New Roman"/>
              </w:rPr>
            </w:pPr>
            <w:r w:rsidRPr="000212FA">
              <w:rPr>
                <w:rFonts w:ascii="Times New Roman" w:hAnsi="Times New Roman" w:cs="Times New Roman"/>
              </w:rPr>
              <w:t>KPRM</w:t>
            </w:r>
          </w:p>
          <w:p w14:paraId="00D16295" w14:textId="62097D5E" w:rsidR="00F0743A" w:rsidRPr="000212FA" w:rsidRDefault="0088551D" w:rsidP="003318FC">
            <w:pPr>
              <w:spacing w:after="0" w:line="240" w:lineRule="auto"/>
              <w:jc w:val="both"/>
              <w:rPr>
                <w:rFonts w:ascii="Times New Roman" w:hAnsi="Times New Roman" w:cs="Times New Roman"/>
              </w:rPr>
            </w:pPr>
            <w:r w:rsidRPr="000212FA">
              <w:rPr>
                <w:rFonts w:ascii="Times New Roman" w:hAnsi="Times New Roman" w:cs="Times New Roman"/>
              </w:rPr>
              <w:t>Koordynator OSR</w:t>
            </w:r>
          </w:p>
        </w:tc>
        <w:tc>
          <w:tcPr>
            <w:tcW w:w="4536" w:type="dxa"/>
          </w:tcPr>
          <w:p w14:paraId="0919A3D5" w14:textId="77777777" w:rsidR="00C80E3D" w:rsidRPr="000212FA" w:rsidRDefault="00C80E3D" w:rsidP="003318FC">
            <w:pPr>
              <w:spacing w:after="0" w:line="240" w:lineRule="auto"/>
              <w:jc w:val="both"/>
              <w:rPr>
                <w:rFonts w:ascii="Times New Roman" w:hAnsi="Times New Roman" w:cs="Times New Roman"/>
              </w:rPr>
            </w:pPr>
            <w:r w:rsidRPr="000212FA">
              <w:rPr>
                <w:rFonts w:ascii="Times New Roman" w:hAnsi="Times New Roman" w:cs="Times New Roman"/>
              </w:rPr>
              <w:t>Zwracam się z prośbą o uwzględnienie uwag, zgodnie z pismem do Koordynatora Oceny Skutków Regulacji z 9 sierpnia 2024 r. (DUS-II.0210.7.2024).</w:t>
            </w:r>
          </w:p>
          <w:p w14:paraId="7BBFA98B" w14:textId="3E9F75C3" w:rsidR="00F0743A" w:rsidRPr="000212FA" w:rsidRDefault="00C80E3D" w:rsidP="003318FC">
            <w:pPr>
              <w:spacing w:after="0" w:line="240" w:lineRule="auto"/>
              <w:jc w:val="both"/>
              <w:rPr>
                <w:rFonts w:ascii="Times New Roman" w:hAnsi="Times New Roman" w:cs="Times New Roman"/>
              </w:rPr>
            </w:pPr>
            <w:r w:rsidRPr="000212FA">
              <w:rPr>
                <w:rFonts w:ascii="Times New Roman" w:hAnsi="Times New Roman" w:cs="Times New Roman"/>
              </w:rPr>
              <w:t xml:space="preserve">W piśmie tym zadeklarowano uwzględnienie uwag dot. pkt 6, 7 i 8 OSR, co nie w pełni zostało odzwierciedlone w wersji OSR z 22 października br. </w:t>
            </w:r>
          </w:p>
        </w:tc>
        <w:tc>
          <w:tcPr>
            <w:tcW w:w="3402" w:type="dxa"/>
            <w:vAlign w:val="center"/>
          </w:tcPr>
          <w:p w14:paraId="02D83B47" w14:textId="77777777" w:rsidR="00F0743A" w:rsidRPr="000212FA" w:rsidRDefault="00F0743A" w:rsidP="003318FC">
            <w:pPr>
              <w:spacing w:after="0" w:line="240" w:lineRule="auto"/>
              <w:jc w:val="both"/>
              <w:rPr>
                <w:rFonts w:ascii="Times New Roman" w:eastAsia="Calibri" w:hAnsi="Times New Roman" w:cs="Times New Roman"/>
              </w:rPr>
            </w:pPr>
          </w:p>
        </w:tc>
        <w:tc>
          <w:tcPr>
            <w:tcW w:w="4253" w:type="dxa"/>
          </w:tcPr>
          <w:p w14:paraId="7AE805E8" w14:textId="77777777" w:rsidR="00DB0215" w:rsidRPr="000212FA" w:rsidRDefault="00DB0215" w:rsidP="003318FC">
            <w:pPr>
              <w:spacing w:after="0" w:line="240" w:lineRule="auto"/>
              <w:jc w:val="both"/>
              <w:rPr>
                <w:rFonts w:ascii="Times New Roman" w:hAnsi="Times New Roman" w:cs="Times New Roman"/>
                <w:b/>
                <w:bCs/>
              </w:rPr>
            </w:pPr>
            <w:r w:rsidRPr="000212FA">
              <w:rPr>
                <w:rFonts w:ascii="Times New Roman" w:hAnsi="Times New Roman" w:cs="Times New Roman"/>
                <w:b/>
                <w:bCs/>
              </w:rPr>
              <w:t>Uwaga uwzględniona.</w:t>
            </w:r>
          </w:p>
          <w:p w14:paraId="323785E6" w14:textId="77777777" w:rsidR="00DB0215" w:rsidRPr="000212FA" w:rsidRDefault="00DB0215" w:rsidP="003318FC">
            <w:pPr>
              <w:spacing w:after="0" w:line="240" w:lineRule="auto"/>
              <w:jc w:val="both"/>
              <w:rPr>
                <w:rFonts w:ascii="Times New Roman" w:hAnsi="Times New Roman" w:cs="Times New Roman"/>
              </w:rPr>
            </w:pPr>
          </w:p>
          <w:p w14:paraId="1718A2B2" w14:textId="193937DF" w:rsidR="00DB0215" w:rsidRPr="000212FA" w:rsidRDefault="00DB0215" w:rsidP="003318FC">
            <w:pPr>
              <w:spacing w:after="0" w:line="240" w:lineRule="auto"/>
              <w:jc w:val="both"/>
              <w:rPr>
                <w:rFonts w:ascii="Times New Roman" w:hAnsi="Times New Roman" w:cs="Times New Roman"/>
              </w:rPr>
            </w:pPr>
            <w:r w:rsidRPr="000212FA">
              <w:rPr>
                <w:rFonts w:ascii="Times New Roman" w:hAnsi="Times New Roman" w:cs="Times New Roman"/>
              </w:rPr>
              <w:t>Ocena skutków regulacji zosta</w:t>
            </w:r>
            <w:r w:rsidR="006C79DC" w:rsidRPr="000212FA">
              <w:rPr>
                <w:rFonts w:ascii="Times New Roman" w:hAnsi="Times New Roman" w:cs="Times New Roman"/>
              </w:rPr>
              <w:t>ła</w:t>
            </w:r>
            <w:r w:rsidRPr="000212FA">
              <w:rPr>
                <w:rFonts w:ascii="Times New Roman" w:hAnsi="Times New Roman" w:cs="Times New Roman"/>
              </w:rPr>
              <w:t xml:space="preserve"> uzupełniona zgodnie z intencją zgłaszającego uwagę.</w:t>
            </w:r>
          </w:p>
          <w:p w14:paraId="3C66C286" w14:textId="6A668ACF" w:rsidR="00367A1C" w:rsidRPr="000212FA" w:rsidRDefault="00367A1C" w:rsidP="003318FC">
            <w:pPr>
              <w:spacing w:after="0" w:line="240" w:lineRule="auto"/>
              <w:jc w:val="both"/>
              <w:rPr>
                <w:rFonts w:ascii="Times New Roman" w:hAnsi="Times New Roman" w:cs="Times New Roman"/>
              </w:rPr>
            </w:pPr>
          </w:p>
        </w:tc>
      </w:tr>
      <w:tr w:rsidR="00C80E3D" w:rsidRPr="000212FA" w14:paraId="16CE85C7" w14:textId="77777777" w:rsidTr="003318FC">
        <w:tc>
          <w:tcPr>
            <w:tcW w:w="567" w:type="dxa"/>
          </w:tcPr>
          <w:p w14:paraId="762206F2" w14:textId="77777777" w:rsidR="00C80E3D" w:rsidRPr="000212FA" w:rsidRDefault="00C80E3D" w:rsidP="003318FC">
            <w:pPr>
              <w:pStyle w:val="Akapitzlist"/>
              <w:numPr>
                <w:ilvl w:val="0"/>
                <w:numId w:val="1"/>
              </w:numPr>
              <w:spacing w:after="0" w:line="240" w:lineRule="auto"/>
              <w:ind w:left="0" w:firstLine="0"/>
              <w:jc w:val="both"/>
              <w:rPr>
                <w:rFonts w:ascii="Times New Roman" w:hAnsi="Times New Roman" w:cs="Times New Roman"/>
                <w:b/>
              </w:rPr>
            </w:pPr>
          </w:p>
        </w:tc>
        <w:tc>
          <w:tcPr>
            <w:tcW w:w="1418" w:type="dxa"/>
            <w:vAlign w:val="center"/>
          </w:tcPr>
          <w:p w14:paraId="1271726B" w14:textId="3A9E1D68" w:rsidR="00C80E3D" w:rsidRPr="000212FA" w:rsidRDefault="00C80E3D" w:rsidP="003318FC">
            <w:pPr>
              <w:spacing w:after="0" w:line="240" w:lineRule="auto"/>
              <w:jc w:val="both"/>
              <w:rPr>
                <w:rFonts w:ascii="Times New Roman" w:hAnsi="Times New Roman" w:cs="Times New Roman"/>
              </w:rPr>
            </w:pPr>
            <w:r w:rsidRPr="000212FA">
              <w:rPr>
                <w:rFonts w:ascii="Times New Roman" w:hAnsi="Times New Roman" w:cs="Times New Roman"/>
              </w:rPr>
              <w:t>OSR</w:t>
            </w:r>
          </w:p>
        </w:tc>
        <w:tc>
          <w:tcPr>
            <w:tcW w:w="1559" w:type="dxa"/>
            <w:vAlign w:val="center"/>
          </w:tcPr>
          <w:p w14:paraId="65BC49F6" w14:textId="77777777" w:rsidR="00C80E3D" w:rsidRPr="000212FA" w:rsidRDefault="00C80E3D" w:rsidP="003318FC">
            <w:pPr>
              <w:spacing w:after="0" w:line="240" w:lineRule="auto"/>
              <w:jc w:val="both"/>
              <w:rPr>
                <w:rFonts w:ascii="Times New Roman" w:hAnsi="Times New Roman" w:cs="Times New Roman"/>
              </w:rPr>
            </w:pPr>
            <w:r w:rsidRPr="000212FA">
              <w:rPr>
                <w:rFonts w:ascii="Times New Roman" w:hAnsi="Times New Roman" w:cs="Times New Roman"/>
              </w:rPr>
              <w:t>KPRM</w:t>
            </w:r>
          </w:p>
          <w:p w14:paraId="253F3A21" w14:textId="036E44FA" w:rsidR="00C80E3D" w:rsidRPr="000212FA" w:rsidRDefault="00C80E3D" w:rsidP="003318FC">
            <w:pPr>
              <w:spacing w:after="0" w:line="240" w:lineRule="auto"/>
              <w:jc w:val="both"/>
              <w:rPr>
                <w:rFonts w:ascii="Times New Roman" w:hAnsi="Times New Roman" w:cs="Times New Roman"/>
              </w:rPr>
            </w:pPr>
            <w:r w:rsidRPr="000212FA">
              <w:rPr>
                <w:rFonts w:ascii="Times New Roman" w:hAnsi="Times New Roman" w:cs="Times New Roman"/>
              </w:rPr>
              <w:t>Koordynator OSR</w:t>
            </w:r>
          </w:p>
        </w:tc>
        <w:tc>
          <w:tcPr>
            <w:tcW w:w="4536" w:type="dxa"/>
          </w:tcPr>
          <w:p w14:paraId="05A5D3DE" w14:textId="0675891E" w:rsidR="00C80E3D" w:rsidRPr="000212FA" w:rsidRDefault="00C80E3D" w:rsidP="003318FC">
            <w:pPr>
              <w:autoSpaceDE w:val="0"/>
              <w:autoSpaceDN w:val="0"/>
              <w:adjustRightInd w:val="0"/>
              <w:spacing w:after="0" w:line="240" w:lineRule="auto"/>
              <w:jc w:val="both"/>
              <w:rPr>
                <w:rFonts w:ascii="Times New Roman" w:hAnsi="Times New Roman" w:cs="Times New Roman"/>
              </w:rPr>
            </w:pPr>
            <w:r w:rsidRPr="000212FA">
              <w:rPr>
                <w:rFonts w:ascii="Times New Roman" w:hAnsi="Times New Roman" w:cs="Times New Roman"/>
              </w:rPr>
              <w:t>Warto również rozszerzyć informacje dot. wpływu na sądy (pkt 10 OSR) w zakresie zmian w orzecznictwie, zgodnie z informacjami zawartymi w wyżej wskazanym piśmie z 9 sierpnia.</w:t>
            </w:r>
          </w:p>
        </w:tc>
        <w:tc>
          <w:tcPr>
            <w:tcW w:w="3402" w:type="dxa"/>
            <w:vAlign w:val="center"/>
          </w:tcPr>
          <w:p w14:paraId="45BD90E3" w14:textId="77777777" w:rsidR="00C80E3D" w:rsidRPr="000212FA" w:rsidRDefault="00C80E3D" w:rsidP="003318FC">
            <w:pPr>
              <w:autoSpaceDE w:val="0"/>
              <w:autoSpaceDN w:val="0"/>
              <w:adjustRightInd w:val="0"/>
              <w:spacing w:after="0" w:line="240" w:lineRule="auto"/>
              <w:jc w:val="both"/>
              <w:rPr>
                <w:rFonts w:ascii="Times New Roman" w:hAnsi="Times New Roman" w:cs="Times New Roman"/>
              </w:rPr>
            </w:pPr>
          </w:p>
        </w:tc>
        <w:tc>
          <w:tcPr>
            <w:tcW w:w="4253" w:type="dxa"/>
          </w:tcPr>
          <w:p w14:paraId="6BC7A8C1" w14:textId="77777777" w:rsidR="00C25419" w:rsidRPr="000212FA" w:rsidRDefault="00C25419" w:rsidP="003318FC">
            <w:pPr>
              <w:spacing w:after="0" w:line="240" w:lineRule="auto"/>
              <w:jc w:val="both"/>
              <w:rPr>
                <w:rFonts w:ascii="Times New Roman" w:hAnsi="Times New Roman" w:cs="Times New Roman"/>
                <w:b/>
                <w:bCs/>
              </w:rPr>
            </w:pPr>
            <w:r w:rsidRPr="000212FA">
              <w:rPr>
                <w:rFonts w:ascii="Times New Roman" w:hAnsi="Times New Roman" w:cs="Times New Roman"/>
                <w:b/>
                <w:bCs/>
              </w:rPr>
              <w:t>Uwaga uwzględniona.</w:t>
            </w:r>
          </w:p>
          <w:p w14:paraId="3D2271F6" w14:textId="77777777" w:rsidR="00367A1C" w:rsidRPr="000212FA" w:rsidRDefault="00367A1C" w:rsidP="003318FC">
            <w:pPr>
              <w:spacing w:after="0" w:line="240" w:lineRule="auto"/>
              <w:jc w:val="both"/>
              <w:rPr>
                <w:rFonts w:ascii="Times New Roman" w:hAnsi="Times New Roman" w:cs="Times New Roman"/>
              </w:rPr>
            </w:pPr>
          </w:p>
          <w:p w14:paraId="6E138BCB" w14:textId="786F81AB" w:rsidR="00367A1C" w:rsidRPr="000212FA" w:rsidRDefault="00C25419" w:rsidP="003318FC">
            <w:pPr>
              <w:spacing w:after="0" w:line="240" w:lineRule="auto"/>
              <w:jc w:val="both"/>
              <w:rPr>
                <w:rFonts w:ascii="Times New Roman" w:hAnsi="Times New Roman" w:cs="Times New Roman"/>
              </w:rPr>
            </w:pPr>
            <w:r w:rsidRPr="000212FA">
              <w:rPr>
                <w:rFonts w:ascii="Times New Roman" w:hAnsi="Times New Roman" w:cs="Times New Roman"/>
              </w:rPr>
              <w:t>Ocena skutków regulacji zosta</w:t>
            </w:r>
            <w:r w:rsidR="006C79DC" w:rsidRPr="000212FA">
              <w:rPr>
                <w:rFonts w:ascii="Times New Roman" w:hAnsi="Times New Roman" w:cs="Times New Roman"/>
              </w:rPr>
              <w:t>ła</w:t>
            </w:r>
            <w:r w:rsidRPr="000212FA">
              <w:rPr>
                <w:rFonts w:ascii="Times New Roman" w:hAnsi="Times New Roman" w:cs="Times New Roman"/>
              </w:rPr>
              <w:t xml:space="preserve"> uzupełniona zgodnie z intencją zgłaszającego uwagę.</w:t>
            </w:r>
          </w:p>
          <w:p w14:paraId="146C38DF" w14:textId="295647F7" w:rsidR="00C25419" w:rsidRPr="000212FA" w:rsidRDefault="00C25419" w:rsidP="003318FC">
            <w:pPr>
              <w:spacing w:after="0" w:line="240" w:lineRule="auto"/>
              <w:jc w:val="both"/>
              <w:rPr>
                <w:rFonts w:ascii="Times New Roman" w:hAnsi="Times New Roman" w:cs="Times New Roman"/>
              </w:rPr>
            </w:pPr>
          </w:p>
        </w:tc>
      </w:tr>
      <w:tr w:rsidR="0088551D" w:rsidRPr="000212FA" w14:paraId="2BE2D2C5" w14:textId="77777777" w:rsidTr="003318FC">
        <w:tc>
          <w:tcPr>
            <w:tcW w:w="567" w:type="dxa"/>
          </w:tcPr>
          <w:p w14:paraId="2A04845E" w14:textId="77777777" w:rsidR="0088551D" w:rsidRPr="000212FA" w:rsidRDefault="0088551D" w:rsidP="003318FC">
            <w:pPr>
              <w:pStyle w:val="Akapitzlist"/>
              <w:numPr>
                <w:ilvl w:val="0"/>
                <w:numId w:val="1"/>
              </w:numPr>
              <w:spacing w:after="0" w:line="240" w:lineRule="auto"/>
              <w:ind w:left="0" w:firstLine="0"/>
              <w:jc w:val="both"/>
              <w:rPr>
                <w:rFonts w:ascii="Times New Roman" w:hAnsi="Times New Roman" w:cs="Times New Roman"/>
                <w:b/>
              </w:rPr>
            </w:pPr>
          </w:p>
        </w:tc>
        <w:tc>
          <w:tcPr>
            <w:tcW w:w="1418" w:type="dxa"/>
            <w:vAlign w:val="center"/>
          </w:tcPr>
          <w:p w14:paraId="0A56D6CE" w14:textId="0B897B19" w:rsidR="0088551D" w:rsidRPr="000212FA" w:rsidRDefault="0088551D" w:rsidP="003318FC">
            <w:pPr>
              <w:spacing w:after="0" w:line="240" w:lineRule="auto"/>
              <w:jc w:val="both"/>
              <w:rPr>
                <w:rFonts w:ascii="Times New Roman" w:hAnsi="Times New Roman" w:cs="Times New Roman"/>
              </w:rPr>
            </w:pPr>
            <w:r w:rsidRPr="000212FA">
              <w:rPr>
                <w:rFonts w:ascii="Times New Roman" w:hAnsi="Times New Roman" w:cs="Times New Roman"/>
              </w:rPr>
              <w:t>Uwaga dodatkowa</w:t>
            </w:r>
          </w:p>
        </w:tc>
        <w:tc>
          <w:tcPr>
            <w:tcW w:w="1559" w:type="dxa"/>
            <w:vAlign w:val="center"/>
          </w:tcPr>
          <w:p w14:paraId="407B4958" w14:textId="1AC76A90" w:rsidR="0088551D" w:rsidRPr="000212FA" w:rsidRDefault="0088551D" w:rsidP="003318FC">
            <w:pPr>
              <w:spacing w:after="0" w:line="240" w:lineRule="auto"/>
              <w:jc w:val="both"/>
              <w:rPr>
                <w:rFonts w:ascii="Times New Roman" w:hAnsi="Times New Roman" w:cs="Times New Roman"/>
              </w:rPr>
            </w:pPr>
            <w:r w:rsidRPr="000212FA">
              <w:rPr>
                <w:rFonts w:ascii="Times New Roman" w:hAnsi="Times New Roman" w:cs="Times New Roman"/>
              </w:rPr>
              <w:t>Minister – Członek Rady Ministrów Koordynator Służb Spe</w:t>
            </w:r>
            <w:bookmarkStart w:id="0" w:name="_GoBack"/>
            <w:bookmarkEnd w:id="0"/>
            <w:r w:rsidRPr="000212FA">
              <w:rPr>
                <w:rFonts w:ascii="Times New Roman" w:hAnsi="Times New Roman" w:cs="Times New Roman"/>
              </w:rPr>
              <w:t>cjalnych</w:t>
            </w:r>
          </w:p>
        </w:tc>
        <w:tc>
          <w:tcPr>
            <w:tcW w:w="4536" w:type="dxa"/>
          </w:tcPr>
          <w:p w14:paraId="54B98AC3" w14:textId="6F4FE236" w:rsidR="0088551D" w:rsidRPr="000212FA" w:rsidRDefault="0088551D" w:rsidP="003318FC">
            <w:pPr>
              <w:autoSpaceDE w:val="0"/>
              <w:autoSpaceDN w:val="0"/>
              <w:adjustRightInd w:val="0"/>
              <w:spacing w:after="0" w:line="240" w:lineRule="auto"/>
              <w:jc w:val="both"/>
              <w:rPr>
                <w:rFonts w:ascii="Times New Roman" w:hAnsi="Times New Roman" w:cs="Times New Roman"/>
              </w:rPr>
            </w:pPr>
            <w:r w:rsidRPr="000212FA">
              <w:rPr>
                <w:rFonts w:ascii="Times New Roman" w:hAnsi="Times New Roman" w:cs="Times New Roman"/>
              </w:rPr>
              <w:t xml:space="preserve">Proponuję uzupełnienie projektu o przepis zmieniający art. 136c ust. 1 ustawy z dnia 24 maja 2002 r. o Agencji Bezpieczeństwa Wewnętrznego oraz Agencji Wywiadu (Dz. U. z 2024 r. poz. 812, z </w:t>
            </w:r>
            <w:proofErr w:type="spellStart"/>
            <w:r w:rsidRPr="000212FA">
              <w:rPr>
                <w:rFonts w:ascii="Times New Roman" w:hAnsi="Times New Roman" w:cs="Times New Roman"/>
              </w:rPr>
              <w:t>późn</w:t>
            </w:r>
            <w:proofErr w:type="spellEnd"/>
            <w:r w:rsidRPr="000212FA">
              <w:rPr>
                <w:rFonts w:ascii="Times New Roman" w:hAnsi="Times New Roman" w:cs="Times New Roman"/>
              </w:rPr>
              <w:t xml:space="preserve">. zm.), zwanej dalej „ustawą o ABW oraz AW”. Przedmiotowy przepis w obecnym brzmieniu nie przewiduje możliwości stwierdzania okresu przebywania na zwolnieniu lekarskim funkcjonariuszy Agencji Bezpieczeństwa Wewnętrznego oraz funkcjonariuszy Agencji Wywiadu na podstawie zaświadczenia lekarskiego wystawionego za pośrednictwem systemu teleinformatycznego. Należy zauważyć, że funkcjonariusze, którzy korzystają z innych placówek ochrony zdrowia niż podmioty lecznicze, dla których podmiotem tworzącym jest Szef ABW albo Szef AW, mają wystawiane zwolnienia lekarskie wyłącznie w formie elektronicznej, zgodnie z art. 55 ust. 1 ustawy z dnia 25 czerwca 1999 r. o świadczeniach pieniężnych z ubezpieczenia społecznego w razie choroby i macierzyństwa </w:t>
            </w:r>
            <w:r w:rsidRPr="000212FA">
              <w:rPr>
                <w:rFonts w:ascii="Times New Roman" w:hAnsi="Times New Roman" w:cs="Times New Roman"/>
              </w:rPr>
              <w:lastRenderedPageBreak/>
              <w:t xml:space="preserve">(Dz. U. z 2023 r. poz. 2780), a zatem w formie nieprzewidzianej przez przepisy ustawy o ABW oraz AW. Zgodnie bowiem z art. 136c ust. 1 ustawy o ABW oraz AW okres przebywania na zwolnieniu lekarskim stwierdza jedynie zaświadczenie lekarskie wystawione „na zwykłym druku”. Zasadne wydaje się zatem dokonanie zmiany brzmienia art. 136c ust. 1 ustawy o ABW oraz AW poprzez wykreślenie z jego treści sformułowania „wystawione przez lekarza na zwykłym druku", co umożliwi akceptowanie w ABW i AW zwolnień lekarskich wystawionych funkcjonariuszom za pośrednictwem systemu teleinformatycznego. </w:t>
            </w:r>
          </w:p>
        </w:tc>
        <w:tc>
          <w:tcPr>
            <w:tcW w:w="3402" w:type="dxa"/>
            <w:vAlign w:val="center"/>
          </w:tcPr>
          <w:p w14:paraId="6D0D33DA" w14:textId="66A631E4" w:rsidR="0088551D" w:rsidRPr="000212FA" w:rsidRDefault="0088551D" w:rsidP="003318FC">
            <w:pPr>
              <w:autoSpaceDE w:val="0"/>
              <w:autoSpaceDN w:val="0"/>
              <w:adjustRightInd w:val="0"/>
              <w:spacing w:after="0" w:line="240" w:lineRule="auto"/>
              <w:jc w:val="both"/>
              <w:rPr>
                <w:rFonts w:ascii="Times New Roman" w:hAnsi="Times New Roman" w:cs="Times New Roman"/>
                <w:color w:val="000000"/>
              </w:rPr>
            </w:pPr>
            <w:r w:rsidRPr="000212FA">
              <w:rPr>
                <w:rFonts w:ascii="Times New Roman" w:hAnsi="Times New Roman" w:cs="Times New Roman"/>
              </w:rPr>
              <w:lastRenderedPageBreak/>
              <w:t>Proponuję uzupełnienie projektu ustawy o dodatkowy przepis (oznaczony przykładowo jako art. 15a) w brzmieniu: „Art. 15a. W ustawie z dnia 24 maja 2002 r. o Agencji Bezpieczeństwa Wewnętrznego oraz Agencji Wywiadu (Dz. U. z 2024 r. poz. 812, 1222 i 1562) w art. 136c w ust. 1 we wprowadzeniu do wyliczenia skreśla się wyrazy „wystawione przez lekarza na zwykłym druku.”</w:t>
            </w:r>
          </w:p>
        </w:tc>
        <w:tc>
          <w:tcPr>
            <w:tcW w:w="4253" w:type="dxa"/>
          </w:tcPr>
          <w:p w14:paraId="3786A2D1" w14:textId="77777777" w:rsidR="00367A1C" w:rsidRPr="000212FA" w:rsidRDefault="00644109" w:rsidP="003318FC">
            <w:pPr>
              <w:spacing w:after="0" w:line="240" w:lineRule="auto"/>
              <w:jc w:val="both"/>
              <w:rPr>
                <w:rFonts w:ascii="Times New Roman" w:hAnsi="Times New Roman" w:cs="Times New Roman"/>
                <w:b/>
                <w:bCs/>
              </w:rPr>
            </w:pPr>
            <w:r w:rsidRPr="000212FA">
              <w:rPr>
                <w:rFonts w:ascii="Times New Roman" w:hAnsi="Times New Roman" w:cs="Times New Roman"/>
                <w:b/>
                <w:bCs/>
              </w:rPr>
              <w:t>Uwaga uwzględniona.</w:t>
            </w:r>
          </w:p>
          <w:p w14:paraId="6437A9C3" w14:textId="77777777" w:rsidR="00644109" w:rsidRPr="000212FA" w:rsidRDefault="00644109" w:rsidP="003318FC">
            <w:pPr>
              <w:spacing w:after="0" w:line="240" w:lineRule="auto"/>
              <w:jc w:val="both"/>
              <w:rPr>
                <w:rFonts w:ascii="Times New Roman" w:hAnsi="Times New Roman" w:cs="Times New Roman"/>
              </w:rPr>
            </w:pPr>
          </w:p>
          <w:p w14:paraId="2E8B2A4F" w14:textId="6B8DFB65" w:rsidR="00644109" w:rsidRPr="000212FA" w:rsidRDefault="00644109" w:rsidP="003318FC">
            <w:pPr>
              <w:spacing w:after="0" w:line="240" w:lineRule="auto"/>
              <w:jc w:val="both"/>
              <w:rPr>
                <w:rFonts w:ascii="Times New Roman" w:hAnsi="Times New Roman" w:cs="Times New Roman"/>
              </w:rPr>
            </w:pPr>
            <w:r w:rsidRPr="000212FA">
              <w:rPr>
                <w:rFonts w:ascii="Times New Roman" w:hAnsi="Times New Roman" w:cs="Times New Roman"/>
              </w:rPr>
              <w:t>Projekt ustawy zmieniającej zosta</w:t>
            </w:r>
            <w:r w:rsidR="00A4084D" w:rsidRPr="000212FA">
              <w:rPr>
                <w:rFonts w:ascii="Times New Roman" w:hAnsi="Times New Roman" w:cs="Times New Roman"/>
              </w:rPr>
              <w:t>ł</w:t>
            </w:r>
            <w:r w:rsidRPr="000212FA">
              <w:rPr>
                <w:rFonts w:ascii="Times New Roman" w:hAnsi="Times New Roman" w:cs="Times New Roman"/>
              </w:rPr>
              <w:t xml:space="preserve"> uzupełniony o zaproponowany przepis.</w:t>
            </w:r>
          </w:p>
        </w:tc>
      </w:tr>
      <w:tr w:rsidR="0088551D" w:rsidRPr="000212FA" w14:paraId="109434A6" w14:textId="77777777" w:rsidTr="003318FC">
        <w:tc>
          <w:tcPr>
            <w:tcW w:w="567" w:type="dxa"/>
          </w:tcPr>
          <w:p w14:paraId="398A008E" w14:textId="77777777" w:rsidR="0088551D" w:rsidRPr="000212FA" w:rsidRDefault="0088551D" w:rsidP="003318FC">
            <w:pPr>
              <w:pStyle w:val="Akapitzlist"/>
              <w:numPr>
                <w:ilvl w:val="0"/>
                <w:numId w:val="1"/>
              </w:numPr>
              <w:spacing w:after="0" w:line="240" w:lineRule="auto"/>
              <w:ind w:left="0" w:firstLine="0"/>
              <w:jc w:val="both"/>
              <w:rPr>
                <w:rFonts w:ascii="Times New Roman" w:hAnsi="Times New Roman" w:cs="Times New Roman"/>
                <w:b/>
              </w:rPr>
            </w:pPr>
          </w:p>
        </w:tc>
        <w:tc>
          <w:tcPr>
            <w:tcW w:w="1418" w:type="dxa"/>
            <w:vAlign w:val="center"/>
          </w:tcPr>
          <w:p w14:paraId="7E441F66" w14:textId="686C1D8E" w:rsidR="0088551D" w:rsidRPr="000212FA" w:rsidRDefault="0088551D" w:rsidP="003318FC">
            <w:pPr>
              <w:spacing w:after="0" w:line="240" w:lineRule="auto"/>
              <w:jc w:val="both"/>
              <w:rPr>
                <w:rFonts w:ascii="Times New Roman" w:hAnsi="Times New Roman" w:cs="Times New Roman"/>
              </w:rPr>
            </w:pPr>
            <w:r w:rsidRPr="000212FA">
              <w:rPr>
                <w:rFonts w:ascii="Times New Roman" w:hAnsi="Times New Roman" w:cs="Times New Roman"/>
              </w:rPr>
              <w:t>Uwaga dodatkowa</w:t>
            </w:r>
          </w:p>
        </w:tc>
        <w:tc>
          <w:tcPr>
            <w:tcW w:w="1559" w:type="dxa"/>
            <w:vAlign w:val="center"/>
          </w:tcPr>
          <w:p w14:paraId="167587C4" w14:textId="3B33EB15" w:rsidR="0088551D" w:rsidRPr="000212FA" w:rsidRDefault="0088551D" w:rsidP="003318FC">
            <w:pPr>
              <w:spacing w:after="0" w:line="240" w:lineRule="auto"/>
              <w:jc w:val="both"/>
              <w:rPr>
                <w:rFonts w:ascii="Times New Roman" w:hAnsi="Times New Roman" w:cs="Times New Roman"/>
              </w:rPr>
            </w:pPr>
            <w:proofErr w:type="spellStart"/>
            <w:r w:rsidRPr="000212FA">
              <w:rPr>
                <w:rFonts w:ascii="Times New Roman" w:hAnsi="Times New Roman" w:cs="Times New Roman"/>
              </w:rPr>
              <w:t>MFiPR</w:t>
            </w:r>
            <w:proofErr w:type="spellEnd"/>
          </w:p>
        </w:tc>
        <w:tc>
          <w:tcPr>
            <w:tcW w:w="4536" w:type="dxa"/>
          </w:tcPr>
          <w:p w14:paraId="51CE58FF" w14:textId="77777777" w:rsidR="0088551D" w:rsidRPr="000212FA" w:rsidRDefault="0088551D" w:rsidP="003318FC">
            <w:pPr>
              <w:autoSpaceDE w:val="0"/>
              <w:autoSpaceDN w:val="0"/>
              <w:adjustRightInd w:val="0"/>
              <w:spacing w:after="0" w:line="240" w:lineRule="auto"/>
              <w:jc w:val="both"/>
              <w:rPr>
                <w:rFonts w:ascii="Times New Roman" w:hAnsi="Times New Roman" w:cs="Times New Roman"/>
              </w:rPr>
            </w:pPr>
            <w:r w:rsidRPr="000212FA">
              <w:rPr>
                <w:rFonts w:ascii="Times New Roman" w:hAnsi="Times New Roman" w:cs="Times New Roman"/>
              </w:rPr>
              <w:t xml:space="preserve">Proponowana zmiana dotyczy art. 6 ust. 4ba ustawy z dnia 13 października 1998 r. o systemie ubezpieczeń społecznych i wprowadza zwolnienie z objęcia obowiązkowymi składkami społecznymi stypendiów stażowych uczniów i studentów do 26 roku życia finansowanych z Funduszu na rzecz Sprawiedliwej Transformacji (FST) na równi z uczniami i studentami uczestniczącymi w analogicznych szkoleniach finansowanych z Europejskiego Funduszu Społecznego (EFS) i Europejskiego Funduszu Społecznego Plus (EFS+). Ponadto, komplementarnie do zmiany art. 6 zmieniony powinien zostać art. 50 w zakresie gromadzonych danych. Stypendia stażowe współfinansowane z udziałem środków z FST w odróżnieniu od EFS lub EFS+ podlegają składkom społecznym, co powoduje nierówne podejście w odniesieniu do tej samej formy wsparcia uczestników i realizatorów projektów współfinansowanych z FST i EFS+. </w:t>
            </w:r>
          </w:p>
          <w:p w14:paraId="35E6197C" w14:textId="74391CB4" w:rsidR="0088551D" w:rsidRPr="000212FA" w:rsidRDefault="0088551D" w:rsidP="003318FC">
            <w:pPr>
              <w:spacing w:after="0" w:line="240" w:lineRule="auto"/>
              <w:jc w:val="both"/>
              <w:rPr>
                <w:rFonts w:ascii="Times New Roman" w:hAnsi="Times New Roman" w:cs="Times New Roman"/>
              </w:rPr>
            </w:pPr>
            <w:r w:rsidRPr="000212FA">
              <w:rPr>
                <w:rFonts w:ascii="Times New Roman" w:hAnsi="Times New Roman" w:cs="Times New Roman"/>
              </w:rPr>
              <w:lastRenderedPageBreak/>
              <w:t>Obecne zapisy ustawy nie uwzględniają tego, że w ramach FST są realizowane projekty tzw. „miękkie”, które co do zasady mają charakter i sposób realizacji analogiczny do projektów realizowanych ze środków EFS+. Wprowadzenie proponowanych zmian zrównuje warunki realizacji projektów stażowych realizowanych w ramach wdrażania polityki spójności na lata 2021-2027 niezależnie od źródła ich finansowania.</w:t>
            </w:r>
          </w:p>
        </w:tc>
        <w:tc>
          <w:tcPr>
            <w:tcW w:w="3402" w:type="dxa"/>
            <w:vAlign w:val="center"/>
          </w:tcPr>
          <w:p w14:paraId="6DC3E6B9" w14:textId="2643E8A1" w:rsidR="0088551D" w:rsidRPr="000212FA" w:rsidRDefault="0088551D" w:rsidP="003318FC">
            <w:pPr>
              <w:autoSpaceDE w:val="0"/>
              <w:autoSpaceDN w:val="0"/>
              <w:adjustRightInd w:val="0"/>
              <w:spacing w:after="0" w:line="240" w:lineRule="auto"/>
              <w:jc w:val="both"/>
              <w:rPr>
                <w:rFonts w:ascii="Times New Roman" w:hAnsi="Times New Roman" w:cs="Times New Roman"/>
                <w:color w:val="000000"/>
              </w:rPr>
            </w:pPr>
            <w:r w:rsidRPr="000212FA">
              <w:rPr>
                <w:rFonts w:ascii="Times New Roman" w:hAnsi="Times New Roman" w:cs="Times New Roman"/>
                <w:color w:val="000000"/>
              </w:rPr>
              <w:lastRenderedPageBreak/>
              <w:t>Art. 6 ust. 4ba. Uczniowie szkół ponadpodstawowych lub studenci do ukończenia 26 lat, którzy pobierają</w:t>
            </w:r>
            <w:r w:rsidR="00161BA8" w:rsidRPr="000212FA">
              <w:rPr>
                <w:rFonts w:ascii="Times New Roman" w:hAnsi="Times New Roman" w:cs="Times New Roman"/>
                <w:color w:val="000000"/>
              </w:rPr>
              <w:t xml:space="preserve"> </w:t>
            </w:r>
            <w:r w:rsidRPr="000212FA">
              <w:rPr>
                <w:rFonts w:ascii="Times New Roman" w:hAnsi="Times New Roman" w:cs="Times New Roman"/>
                <w:color w:val="000000"/>
              </w:rPr>
              <w:t>stypendium finansowane z udziałem środków Europejskiego Funduszu Społecznego lub</w:t>
            </w:r>
            <w:r w:rsidR="00161BA8" w:rsidRPr="000212FA">
              <w:rPr>
                <w:rFonts w:ascii="Times New Roman" w:hAnsi="Times New Roman" w:cs="Times New Roman"/>
                <w:color w:val="000000"/>
              </w:rPr>
              <w:t xml:space="preserve"> </w:t>
            </w:r>
            <w:r w:rsidRPr="000212FA">
              <w:rPr>
                <w:rFonts w:ascii="Times New Roman" w:hAnsi="Times New Roman" w:cs="Times New Roman"/>
                <w:color w:val="000000"/>
              </w:rPr>
              <w:t xml:space="preserve">Europejskiego Funduszu Społecznego Plus </w:t>
            </w:r>
            <w:r w:rsidRPr="000212FA">
              <w:rPr>
                <w:rFonts w:ascii="Times New Roman" w:hAnsi="Times New Roman" w:cs="Times New Roman"/>
                <w:b/>
                <w:bCs/>
              </w:rPr>
              <w:t>lub Funduszu na rzecz Sprawiedliwej Transformacji</w:t>
            </w:r>
            <w:r w:rsidRPr="000212FA">
              <w:rPr>
                <w:rFonts w:ascii="Times New Roman" w:hAnsi="Times New Roman" w:cs="Times New Roman"/>
              </w:rPr>
              <w:t xml:space="preserve"> </w:t>
            </w:r>
            <w:r w:rsidRPr="000212FA">
              <w:rPr>
                <w:rFonts w:ascii="Times New Roman" w:hAnsi="Times New Roman" w:cs="Times New Roman"/>
                <w:color w:val="000000"/>
              </w:rPr>
              <w:t>w</w:t>
            </w:r>
            <w:r w:rsidR="00E02F60" w:rsidRPr="000212FA">
              <w:rPr>
                <w:rFonts w:ascii="Times New Roman" w:hAnsi="Times New Roman" w:cs="Times New Roman"/>
                <w:color w:val="000000"/>
              </w:rPr>
              <w:t xml:space="preserve"> </w:t>
            </w:r>
            <w:r w:rsidRPr="000212FA">
              <w:rPr>
                <w:rFonts w:ascii="Times New Roman" w:hAnsi="Times New Roman" w:cs="Times New Roman"/>
                <w:color w:val="000000"/>
              </w:rPr>
              <w:t>okresie odbywania szkolenia, stażu lub przygotowania zawodowego dorosłych, na które zostali</w:t>
            </w:r>
            <w:r w:rsidR="00161BA8" w:rsidRPr="000212FA">
              <w:rPr>
                <w:rFonts w:ascii="Times New Roman" w:hAnsi="Times New Roman" w:cs="Times New Roman"/>
                <w:color w:val="000000"/>
              </w:rPr>
              <w:t xml:space="preserve"> </w:t>
            </w:r>
            <w:r w:rsidRPr="000212FA">
              <w:rPr>
                <w:rFonts w:ascii="Times New Roman" w:hAnsi="Times New Roman" w:cs="Times New Roman"/>
                <w:color w:val="000000"/>
              </w:rPr>
              <w:t>skierowani przez inne niż powiatowy urząd pracy podmioty kierujące na szkolenie, staż lub</w:t>
            </w:r>
            <w:r w:rsidR="00161BA8" w:rsidRPr="000212FA">
              <w:rPr>
                <w:rFonts w:ascii="Times New Roman" w:hAnsi="Times New Roman" w:cs="Times New Roman"/>
                <w:color w:val="000000"/>
              </w:rPr>
              <w:t xml:space="preserve"> </w:t>
            </w:r>
            <w:r w:rsidRPr="000212FA">
              <w:rPr>
                <w:rFonts w:ascii="Times New Roman" w:hAnsi="Times New Roman" w:cs="Times New Roman"/>
                <w:color w:val="000000"/>
              </w:rPr>
              <w:t>przygotowanie zawodowe dorosłych, nie podlegają obowiązkowo ubezpieczeniom emerytalnemu i</w:t>
            </w:r>
            <w:r w:rsidR="00161BA8" w:rsidRPr="000212FA">
              <w:rPr>
                <w:rFonts w:ascii="Times New Roman" w:hAnsi="Times New Roman" w:cs="Times New Roman"/>
                <w:color w:val="000000"/>
              </w:rPr>
              <w:t xml:space="preserve"> </w:t>
            </w:r>
            <w:r w:rsidRPr="000212FA">
              <w:rPr>
                <w:rFonts w:ascii="Times New Roman" w:hAnsi="Times New Roman" w:cs="Times New Roman"/>
                <w:color w:val="000000"/>
              </w:rPr>
              <w:t>rentowym.</w:t>
            </w:r>
          </w:p>
          <w:p w14:paraId="18522D38" w14:textId="22CFF35F" w:rsidR="0088551D" w:rsidRPr="000212FA" w:rsidRDefault="0088551D" w:rsidP="003318FC">
            <w:pPr>
              <w:autoSpaceDE w:val="0"/>
              <w:autoSpaceDN w:val="0"/>
              <w:adjustRightInd w:val="0"/>
              <w:spacing w:after="0" w:line="240" w:lineRule="auto"/>
              <w:jc w:val="both"/>
              <w:rPr>
                <w:rFonts w:ascii="Times New Roman" w:hAnsi="Times New Roman" w:cs="Times New Roman"/>
                <w:color w:val="000000"/>
              </w:rPr>
            </w:pPr>
            <w:r w:rsidRPr="000212FA">
              <w:rPr>
                <w:rFonts w:ascii="Times New Roman" w:hAnsi="Times New Roman" w:cs="Times New Roman"/>
                <w:color w:val="000000"/>
              </w:rPr>
              <w:lastRenderedPageBreak/>
              <w:t>Art. 50 ust</w:t>
            </w:r>
            <w:r w:rsidR="00161BA8" w:rsidRPr="000212FA">
              <w:rPr>
                <w:rFonts w:ascii="Times New Roman" w:hAnsi="Times New Roman" w:cs="Times New Roman"/>
                <w:color w:val="000000"/>
              </w:rPr>
              <w:t xml:space="preserve">. </w:t>
            </w:r>
            <w:r w:rsidRPr="000212FA">
              <w:rPr>
                <w:rFonts w:ascii="Times New Roman" w:hAnsi="Times New Roman" w:cs="Times New Roman"/>
                <w:color w:val="000000"/>
              </w:rPr>
              <w:t>3a. Dane zgromadzone na koncie ubezpieczonego będącego uczestnikiem w rozumieniu załącznika I</w:t>
            </w:r>
            <w:r w:rsidR="00E02F60" w:rsidRPr="000212FA">
              <w:rPr>
                <w:rFonts w:ascii="Times New Roman" w:hAnsi="Times New Roman" w:cs="Times New Roman"/>
                <w:color w:val="000000"/>
              </w:rPr>
              <w:t xml:space="preserve"> </w:t>
            </w:r>
            <w:r w:rsidRPr="000212FA">
              <w:rPr>
                <w:rFonts w:ascii="Times New Roman" w:hAnsi="Times New Roman" w:cs="Times New Roman"/>
                <w:color w:val="000000"/>
              </w:rPr>
              <w:t>lub II do rozporządzenia Parlamentu Europejskiego i Rady (UE) nr 1304/2013 z dnia 17 grudnia 2013</w:t>
            </w:r>
            <w:r w:rsidR="00161BA8" w:rsidRPr="000212FA">
              <w:rPr>
                <w:rFonts w:ascii="Times New Roman" w:hAnsi="Times New Roman" w:cs="Times New Roman"/>
                <w:color w:val="000000"/>
              </w:rPr>
              <w:t xml:space="preserve"> </w:t>
            </w:r>
            <w:r w:rsidRPr="000212FA">
              <w:rPr>
                <w:rFonts w:ascii="Times New Roman" w:hAnsi="Times New Roman" w:cs="Times New Roman"/>
                <w:color w:val="000000"/>
              </w:rPr>
              <w:t>r. w sprawie Europejskiego Funduszu Społecznego i uchylającego rozporządzenie Rady (WE) nr</w:t>
            </w:r>
            <w:r w:rsidR="00161BA8" w:rsidRPr="000212FA">
              <w:rPr>
                <w:rFonts w:ascii="Times New Roman" w:hAnsi="Times New Roman" w:cs="Times New Roman"/>
                <w:color w:val="000000"/>
              </w:rPr>
              <w:t xml:space="preserve"> </w:t>
            </w:r>
            <w:r w:rsidRPr="000212FA">
              <w:rPr>
                <w:rFonts w:ascii="Times New Roman" w:hAnsi="Times New Roman" w:cs="Times New Roman"/>
                <w:color w:val="000000"/>
              </w:rPr>
              <w:t xml:space="preserve">1081/2006 (Dz. Urz. UE L 347 z 20.12.2013, str. 470, z </w:t>
            </w:r>
            <w:proofErr w:type="spellStart"/>
            <w:r w:rsidRPr="000212FA">
              <w:rPr>
                <w:rFonts w:ascii="Times New Roman" w:hAnsi="Times New Roman" w:cs="Times New Roman"/>
                <w:color w:val="000000"/>
              </w:rPr>
              <w:t>późn</w:t>
            </w:r>
            <w:proofErr w:type="spellEnd"/>
            <w:r w:rsidRPr="000212FA">
              <w:rPr>
                <w:rFonts w:ascii="Times New Roman" w:hAnsi="Times New Roman" w:cs="Times New Roman"/>
                <w:color w:val="000000"/>
              </w:rPr>
              <w:t>. zm.) w odniesieniu do projektu</w:t>
            </w:r>
            <w:r w:rsidR="00161BA8" w:rsidRPr="000212FA">
              <w:rPr>
                <w:rFonts w:ascii="Times New Roman" w:hAnsi="Times New Roman" w:cs="Times New Roman"/>
                <w:color w:val="000000"/>
              </w:rPr>
              <w:t xml:space="preserve"> </w:t>
            </w:r>
            <w:r w:rsidRPr="000212FA">
              <w:rPr>
                <w:rFonts w:ascii="Times New Roman" w:hAnsi="Times New Roman" w:cs="Times New Roman"/>
                <w:color w:val="000000"/>
              </w:rPr>
              <w:t>finansowanego z udziałem środków Europejskiego Funduszu Społecznego lub w rozumieniu</w:t>
            </w:r>
            <w:r w:rsidR="00E02F60" w:rsidRPr="000212FA">
              <w:rPr>
                <w:rFonts w:ascii="Times New Roman" w:hAnsi="Times New Roman" w:cs="Times New Roman"/>
                <w:color w:val="000000"/>
              </w:rPr>
              <w:t xml:space="preserve"> </w:t>
            </w:r>
            <w:r w:rsidRPr="000212FA">
              <w:rPr>
                <w:rFonts w:ascii="Times New Roman" w:hAnsi="Times New Roman" w:cs="Times New Roman"/>
                <w:color w:val="000000"/>
              </w:rPr>
              <w:t>załącznika I lub II do rozporządzenia Parlamentu Europejskiego i Rady (UE) 2021/1057 z dnia 24</w:t>
            </w:r>
            <w:r w:rsidR="00161BA8" w:rsidRPr="000212FA">
              <w:rPr>
                <w:rFonts w:ascii="Times New Roman" w:hAnsi="Times New Roman" w:cs="Times New Roman"/>
                <w:color w:val="000000"/>
              </w:rPr>
              <w:t xml:space="preserve"> </w:t>
            </w:r>
            <w:r w:rsidRPr="000212FA">
              <w:rPr>
                <w:rFonts w:ascii="Times New Roman" w:hAnsi="Times New Roman" w:cs="Times New Roman"/>
                <w:color w:val="000000"/>
              </w:rPr>
              <w:t>czerwca 2021 r. ustanawiającego Europejski Fundusz Społeczny Plus (EFS+) oraz uchylającego</w:t>
            </w:r>
            <w:r w:rsidR="00E02F60" w:rsidRPr="000212FA">
              <w:rPr>
                <w:rFonts w:ascii="Times New Roman" w:hAnsi="Times New Roman" w:cs="Times New Roman"/>
                <w:color w:val="000000"/>
              </w:rPr>
              <w:t xml:space="preserve"> </w:t>
            </w:r>
            <w:r w:rsidRPr="000212FA">
              <w:rPr>
                <w:rFonts w:ascii="Times New Roman" w:hAnsi="Times New Roman" w:cs="Times New Roman"/>
                <w:color w:val="000000"/>
              </w:rPr>
              <w:t xml:space="preserve">rozporządzenie (UE) nr 1296/2013 (Dz. Urz. UE L 231 z 30.06.2021, str. 21, z </w:t>
            </w:r>
            <w:proofErr w:type="spellStart"/>
            <w:r w:rsidRPr="000212FA">
              <w:rPr>
                <w:rFonts w:ascii="Times New Roman" w:hAnsi="Times New Roman" w:cs="Times New Roman"/>
                <w:color w:val="000000"/>
              </w:rPr>
              <w:t>późn</w:t>
            </w:r>
            <w:proofErr w:type="spellEnd"/>
            <w:r w:rsidRPr="000212FA">
              <w:rPr>
                <w:rFonts w:ascii="Times New Roman" w:hAnsi="Times New Roman" w:cs="Times New Roman"/>
                <w:color w:val="000000"/>
              </w:rPr>
              <w:t>. zm.) w</w:t>
            </w:r>
            <w:r w:rsidR="00161BA8" w:rsidRPr="000212FA">
              <w:rPr>
                <w:rFonts w:ascii="Times New Roman" w:hAnsi="Times New Roman" w:cs="Times New Roman"/>
                <w:color w:val="000000"/>
              </w:rPr>
              <w:t xml:space="preserve"> </w:t>
            </w:r>
            <w:r w:rsidRPr="000212FA">
              <w:rPr>
                <w:rFonts w:ascii="Times New Roman" w:hAnsi="Times New Roman" w:cs="Times New Roman"/>
                <w:color w:val="000000"/>
              </w:rPr>
              <w:t>odniesieniu do projektu finansowanego z udziałem środków Europejskiego Funduszu Społecznego</w:t>
            </w:r>
            <w:r w:rsidR="00161BA8" w:rsidRPr="000212FA">
              <w:rPr>
                <w:rFonts w:ascii="Times New Roman" w:hAnsi="Times New Roman" w:cs="Times New Roman"/>
                <w:color w:val="000000"/>
              </w:rPr>
              <w:t xml:space="preserve"> </w:t>
            </w:r>
            <w:r w:rsidRPr="000212FA">
              <w:rPr>
                <w:rFonts w:ascii="Times New Roman" w:hAnsi="Times New Roman" w:cs="Times New Roman"/>
                <w:color w:val="000000"/>
              </w:rPr>
              <w:t xml:space="preserve">Plus </w:t>
            </w:r>
            <w:r w:rsidRPr="000212FA">
              <w:rPr>
                <w:rFonts w:ascii="Times New Roman" w:hAnsi="Times New Roman" w:cs="Times New Roman"/>
                <w:b/>
                <w:bCs/>
              </w:rPr>
              <w:t>lub ubezpieczonego będącego uczestnikiem w rozumieniu</w:t>
            </w:r>
            <w:r w:rsidR="00161BA8" w:rsidRPr="000212FA">
              <w:rPr>
                <w:rFonts w:ascii="Times New Roman" w:hAnsi="Times New Roman" w:cs="Times New Roman"/>
                <w:b/>
                <w:bCs/>
              </w:rPr>
              <w:t xml:space="preserve"> </w:t>
            </w:r>
            <w:r w:rsidRPr="000212FA">
              <w:rPr>
                <w:rFonts w:ascii="Times New Roman" w:hAnsi="Times New Roman" w:cs="Times New Roman"/>
                <w:b/>
                <w:bCs/>
              </w:rPr>
              <w:t>rozporządzenia Parlamentu</w:t>
            </w:r>
            <w:r w:rsidR="00161BA8" w:rsidRPr="000212FA">
              <w:rPr>
                <w:rFonts w:ascii="Times New Roman" w:hAnsi="Times New Roman" w:cs="Times New Roman"/>
                <w:color w:val="000000"/>
              </w:rPr>
              <w:t xml:space="preserve"> </w:t>
            </w:r>
            <w:r w:rsidRPr="000212FA">
              <w:rPr>
                <w:rFonts w:ascii="Times New Roman" w:hAnsi="Times New Roman" w:cs="Times New Roman"/>
                <w:b/>
                <w:bCs/>
              </w:rPr>
              <w:t xml:space="preserve">Europejskiego i Rady (UE) 2021/1056 z dnia 24 czerwca 2021 r. ustanawiającego Fundusz na </w:t>
            </w:r>
            <w:r w:rsidRPr="000212FA">
              <w:rPr>
                <w:rFonts w:ascii="Times New Roman" w:hAnsi="Times New Roman" w:cs="Times New Roman"/>
                <w:b/>
                <w:bCs/>
              </w:rPr>
              <w:lastRenderedPageBreak/>
              <w:t>rzecz</w:t>
            </w:r>
            <w:r w:rsidR="00161BA8" w:rsidRPr="000212FA">
              <w:rPr>
                <w:rFonts w:ascii="Times New Roman" w:hAnsi="Times New Roman" w:cs="Times New Roman"/>
                <w:color w:val="000000"/>
              </w:rPr>
              <w:t xml:space="preserve"> </w:t>
            </w:r>
            <w:r w:rsidRPr="000212FA">
              <w:rPr>
                <w:rFonts w:ascii="Times New Roman" w:hAnsi="Times New Roman" w:cs="Times New Roman"/>
                <w:b/>
                <w:bCs/>
              </w:rPr>
              <w:t xml:space="preserve">Sprawiedliwej Transformacji (Dz. Urz. UE L 231 z 30.06.2021, z </w:t>
            </w:r>
            <w:proofErr w:type="spellStart"/>
            <w:r w:rsidRPr="000212FA">
              <w:rPr>
                <w:rFonts w:ascii="Times New Roman" w:hAnsi="Times New Roman" w:cs="Times New Roman"/>
                <w:b/>
                <w:bCs/>
              </w:rPr>
              <w:t>późn</w:t>
            </w:r>
            <w:proofErr w:type="spellEnd"/>
            <w:r w:rsidRPr="000212FA">
              <w:rPr>
                <w:rFonts w:ascii="Times New Roman" w:hAnsi="Times New Roman" w:cs="Times New Roman"/>
                <w:b/>
                <w:bCs/>
              </w:rPr>
              <w:t>. zm.)</w:t>
            </w:r>
            <w:r w:rsidRPr="000212FA">
              <w:rPr>
                <w:rFonts w:ascii="Times New Roman" w:hAnsi="Times New Roman" w:cs="Times New Roman"/>
              </w:rPr>
              <w:t xml:space="preserve"> </w:t>
            </w:r>
            <w:r w:rsidRPr="000212FA">
              <w:rPr>
                <w:rFonts w:ascii="Times New Roman" w:hAnsi="Times New Roman" w:cs="Times New Roman"/>
                <w:color w:val="000000"/>
              </w:rPr>
              <w:t>oraz ubezpieczonego</w:t>
            </w:r>
            <w:r w:rsidR="00161BA8" w:rsidRPr="000212FA">
              <w:rPr>
                <w:rFonts w:ascii="Times New Roman" w:hAnsi="Times New Roman" w:cs="Times New Roman"/>
                <w:color w:val="000000"/>
              </w:rPr>
              <w:t xml:space="preserve"> </w:t>
            </w:r>
            <w:r w:rsidRPr="000212FA">
              <w:rPr>
                <w:rFonts w:ascii="Times New Roman" w:hAnsi="Times New Roman" w:cs="Times New Roman"/>
                <w:color w:val="000000"/>
              </w:rPr>
              <w:t>będącego beneficjentem w rozumieniu rozporządzenia Parlamentu Europejskiego i Rady (UE)</w:t>
            </w:r>
            <w:r w:rsidR="00161BA8" w:rsidRPr="000212FA">
              <w:rPr>
                <w:rFonts w:ascii="Times New Roman" w:hAnsi="Times New Roman" w:cs="Times New Roman"/>
                <w:color w:val="000000"/>
              </w:rPr>
              <w:t xml:space="preserve"> </w:t>
            </w:r>
            <w:r w:rsidRPr="000212FA">
              <w:rPr>
                <w:rFonts w:ascii="Times New Roman" w:hAnsi="Times New Roman" w:cs="Times New Roman"/>
                <w:color w:val="000000"/>
              </w:rPr>
              <w:t>2021/691 z dnia 28 kwietnia 2021 r. w sprawie Europejskiego Funduszu Dostosowania do Globalizacji</w:t>
            </w:r>
            <w:r w:rsidR="00161BA8" w:rsidRPr="000212FA">
              <w:rPr>
                <w:rFonts w:ascii="Times New Roman" w:hAnsi="Times New Roman" w:cs="Times New Roman"/>
                <w:color w:val="000000"/>
              </w:rPr>
              <w:t xml:space="preserve"> </w:t>
            </w:r>
            <w:r w:rsidRPr="000212FA">
              <w:rPr>
                <w:rFonts w:ascii="Times New Roman" w:hAnsi="Times New Roman" w:cs="Times New Roman"/>
                <w:color w:val="000000"/>
              </w:rPr>
              <w:t>dla Zwalnianych Pracowników (EFG) oraz uchylenia rozporządzenia (UE) nr 1309/2013 (Dz. Urz. UE L</w:t>
            </w:r>
            <w:r w:rsidR="00161BA8" w:rsidRPr="000212FA">
              <w:rPr>
                <w:rFonts w:ascii="Times New Roman" w:hAnsi="Times New Roman" w:cs="Times New Roman"/>
                <w:color w:val="000000"/>
              </w:rPr>
              <w:t xml:space="preserve"> </w:t>
            </w:r>
            <w:r w:rsidRPr="000212FA">
              <w:rPr>
                <w:rFonts w:ascii="Times New Roman" w:hAnsi="Times New Roman" w:cs="Times New Roman"/>
                <w:color w:val="000000"/>
              </w:rPr>
              <w:t xml:space="preserve">153 z 03.05.2021, str. 48, z </w:t>
            </w:r>
            <w:proofErr w:type="spellStart"/>
            <w:r w:rsidRPr="000212FA">
              <w:rPr>
                <w:rFonts w:ascii="Times New Roman" w:hAnsi="Times New Roman" w:cs="Times New Roman"/>
                <w:color w:val="000000"/>
              </w:rPr>
              <w:t>późn</w:t>
            </w:r>
            <w:proofErr w:type="spellEnd"/>
            <w:r w:rsidRPr="000212FA">
              <w:rPr>
                <w:rFonts w:ascii="Times New Roman" w:hAnsi="Times New Roman" w:cs="Times New Roman"/>
                <w:color w:val="000000"/>
              </w:rPr>
              <w:t>. zm.) w odniesieniu do projektu finansowanego z udziałem</w:t>
            </w:r>
            <w:r w:rsidR="00161BA8" w:rsidRPr="000212FA">
              <w:rPr>
                <w:rFonts w:ascii="Times New Roman" w:hAnsi="Times New Roman" w:cs="Times New Roman"/>
                <w:color w:val="000000"/>
              </w:rPr>
              <w:t xml:space="preserve"> </w:t>
            </w:r>
            <w:r w:rsidRPr="000212FA">
              <w:rPr>
                <w:rFonts w:ascii="Times New Roman" w:hAnsi="Times New Roman" w:cs="Times New Roman"/>
                <w:color w:val="000000"/>
              </w:rPr>
              <w:t>środków Europejskiego Funduszu Dostosowania do Globalizacji, o których mowa w art. 40, i na</w:t>
            </w:r>
            <w:r w:rsidR="00161BA8" w:rsidRPr="000212FA">
              <w:rPr>
                <w:rFonts w:ascii="Times New Roman" w:hAnsi="Times New Roman" w:cs="Times New Roman"/>
                <w:color w:val="000000"/>
              </w:rPr>
              <w:t xml:space="preserve"> </w:t>
            </w:r>
            <w:r w:rsidRPr="000212FA">
              <w:rPr>
                <w:rFonts w:ascii="Times New Roman" w:hAnsi="Times New Roman" w:cs="Times New Roman"/>
                <w:color w:val="000000"/>
              </w:rPr>
              <w:t>koncie płatnika składek, o których mowa w art. 45, mogą być udostępniane, w zakresie niezbędnym,</w:t>
            </w:r>
            <w:r w:rsidR="00161BA8" w:rsidRPr="000212FA">
              <w:rPr>
                <w:rFonts w:ascii="Times New Roman" w:hAnsi="Times New Roman" w:cs="Times New Roman"/>
                <w:color w:val="000000"/>
              </w:rPr>
              <w:t xml:space="preserve"> </w:t>
            </w:r>
            <w:r w:rsidRPr="000212FA">
              <w:rPr>
                <w:rFonts w:ascii="Times New Roman" w:hAnsi="Times New Roman" w:cs="Times New Roman"/>
                <w:color w:val="000000"/>
              </w:rPr>
              <w:t>ministrowi właściwemu do spraw rozwoju regionalnego, ministrowi właściwemu do spraw pracy,</w:t>
            </w:r>
            <w:r w:rsidR="00161BA8" w:rsidRPr="000212FA">
              <w:rPr>
                <w:rFonts w:ascii="Times New Roman" w:hAnsi="Times New Roman" w:cs="Times New Roman"/>
                <w:color w:val="000000"/>
              </w:rPr>
              <w:t xml:space="preserve"> </w:t>
            </w:r>
            <w:r w:rsidRPr="000212FA">
              <w:rPr>
                <w:rFonts w:ascii="Times New Roman" w:hAnsi="Times New Roman" w:cs="Times New Roman"/>
                <w:color w:val="000000"/>
              </w:rPr>
              <w:t>ministrowi właściwemu do spraw zabezpieczenia społecznego oraz marszałkowi województwa w celu</w:t>
            </w:r>
            <w:r w:rsidR="00161BA8" w:rsidRPr="000212FA">
              <w:rPr>
                <w:rFonts w:ascii="Times New Roman" w:hAnsi="Times New Roman" w:cs="Times New Roman"/>
                <w:color w:val="000000"/>
              </w:rPr>
              <w:t xml:space="preserve"> </w:t>
            </w:r>
            <w:r w:rsidRPr="000212FA">
              <w:rPr>
                <w:rFonts w:ascii="Times New Roman" w:hAnsi="Times New Roman" w:cs="Times New Roman"/>
                <w:color w:val="000000"/>
              </w:rPr>
              <w:t>realizacji obowiązków wynikających z tych rozporządzeń dotyczących:</w:t>
            </w:r>
          </w:p>
          <w:p w14:paraId="3546855D" w14:textId="209D45FC" w:rsidR="0088551D" w:rsidRPr="000212FA" w:rsidRDefault="0088551D" w:rsidP="003318FC">
            <w:pPr>
              <w:autoSpaceDE w:val="0"/>
              <w:autoSpaceDN w:val="0"/>
              <w:adjustRightInd w:val="0"/>
              <w:spacing w:after="0" w:line="240" w:lineRule="auto"/>
              <w:jc w:val="both"/>
              <w:rPr>
                <w:rFonts w:ascii="Times New Roman" w:hAnsi="Times New Roman" w:cs="Times New Roman"/>
                <w:color w:val="000000"/>
              </w:rPr>
            </w:pPr>
            <w:r w:rsidRPr="000212FA">
              <w:rPr>
                <w:rFonts w:ascii="Times New Roman" w:hAnsi="Times New Roman" w:cs="Times New Roman"/>
                <w:color w:val="000000"/>
              </w:rPr>
              <w:t>1) wyliczania wartości wskaźników odnoszących się do Europejskiego Funduszu Społecznego,</w:t>
            </w:r>
            <w:r w:rsidR="00161BA8" w:rsidRPr="000212FA">
              <w:rPr>
                <w:rFonts w:ascii="Times New Roman" w:hAnsi="Times New Roman" w:cs="Times New Roman"/>
                <w:color w:val="000000"/>
              </w:rPr>
              <w:t xml:space="preserve"> </w:t>
            </w:r>
            <w:r w:rsidRPr="000212FA">
              <w:rPr>
                <w:rFonts w:ascii="Times New Roman" w:hAnsi="Times New Roman" w:cs="Times New Roman"/>
                <w:color w:val="000000"/>
              </w:rPr>
              <w:t xml:space="preserve">Europejskiego Funduszu </w:t>
            </w:r>
            <w:r w:rsidRPr="000212FA">
              <w:rPr>
                <w:rFonts w:ascii="Times New Roman" w:hAnsi="Times New Roman" w:cs="Times New Roman"/>
                <w:color w:val="000000"/>
              </w:rPr>
              <w:lastRenderedPageBreak/>
              <w:t>Społecznego Plus, Inicjatywy Na Rzecz Zatrudnienia Ludzi Młodych</w:t>
            </w:r>
            <w:r w:rsidRPr="000212FA">
              <w:rPr>
                <w:rFonts w:ascii="Times New Roman" w:hAnsi="Times New Roman" w:cs="Times New Roman"/>
                <w:color w:val="B6082E"/>
              </w:rPr>
              <w:t>,</w:t>
            </w:r>
            <w:r w:rsidR="00E02F60" w:rsidRPr="000212FA">
              <w:rPr>
                <w:rFonts w:ascii="Times New Roman" w:hAnsi="Times New Roman" w:cs="Times New Roman"/>
                <w:color w:val="000000"/>
              </w:rPr>
              <w:t xml:space="preserve"> </w:t>
            </w:r>
            <w:r w:rsidRPr="000212FA">
              <w:rPr>
                <w:rFonts w:ascii="Times New Roman" w:hAnsi="Times New Roman" w:cs="Times New Roman"/>
                <w:b/>
                <w:bCs/>
              </w:rPr>
              <w:t>Funduszu na rzecz Sprawiedliwej Transformacji</w:t>
            </w:r>
            <w:r w:rsidRPr="000212FA">
              <w:rPr>
                <w:rFonts w:ascii="Times New Roman" w:hAnsi="Times New Roman" w:cs="Times New Roman"/>
              </w:rPr>
              <w:t xml:space="preserve"> </w:t>
            </w:r>
            <w:r w:rsidRPr="000212FA">
              <w:rPr>
                <w:rFonts w:ascii="Times New Roman" w:hAnsi="Times New Roman" w:cs="Times New Roman"/>
                <w:color w:val="000000"/>
              </w:rPr>
              <w:t>oraz Europejskiego Funduszu Dostosowania do</w:t>
            </w:r>
            <w:r w:rsidR="00161BA8" w:rsidRPr="000212FA">
              <w:rPr>
                <w:rFonts w:ascii="Times New Roman" w:hAnsi="Times New Roman" w:cs="Times New Roman"/>
                <w:color w:val="000000"/>
              </w:rPr>
              <w:t xml:space="preserve"> </w:t>
            </w:r>
            <w:r w:rsidRPr="000212FA">
              <w:rPr>
                <w:rFonts w:ascii="Times New Roman" w:hAnsi="Times New Roman" w:cs="Times New Roman"/>
                <w:color w:val="000000"/>
              </w:rPr>
              <w:t>Globalizacji,</w:t>
            </w:r>
          </w:p>
          <w:p w14:paraId="2989ED23" w14:textId="2EC1CF7F" w:rsidR="0088551D" w:rsidRPr="000212FA" w:rsidRDefault="0088551D" w:rsidP="003318FC">
            <w:pPr>
              <w:autoSpaceDE w:val="0"/>
              <w:autoSpaceDN w:val="0"/>
              <w:adjustRightInd w:val="0"/>
              <w:spacing w:after="0" w:line="240" w:lineRule="auto"/>
              <w:jc w:val="both"/>
              <w:rPr>
                <w:rFonts w:ascii="Times New Roman" w:hAnsi="Times New Roman" w:cs="Times New Roman"/>
                <w:color w:val="000000"/>
              </w:rPr>
            </w:pPr>
            <w:r w:rsidRPr="000212FA">
              <w:rPr>
                <w:rFonts w:ascii="Times New Roman" w:hAnsi="Times New Roman" w:cs="Times New Roman"/>
                <w:color w:val="000000"/>
              </w:rPr>
              <w:t>2) weryfikacji kwalifikowalności uczestników projektów Europejskiego Funduszu Społecznego i</w:t>
            </w:r>
            <w:r w:rsidR="00161BA8" w:rsidRPr="000212FA">
              <w:rPr>
                <w:rFonts w:ascii="Times New Roman" w:hAnsi="Times New Roman" w:cs="Times New Roman"/>
                <w:color w:val="000000"/>
              </w:rPr>
              <w:t xml:space="preserve"> </w:t>
            </w:r>
            <w:r w:rsidRPr="000212FA">
              <w:rPr>
                <w:rFonts w:ascii="Times New Roman" w:hAnsi="Times New Roman" w:cs="Times New Roman"/>
                <w:color w:val="000000"/>
              </w:rPr>
              <w:t>Europejskiego Funduszu Społecznego Plus oraz Inicjatywy Na Rzecz Zatrudnienia Ludzi Młodych</w:t>
            </w:r>
            <w:r w:rsidRPr="000212FA">
              <w:rPr>
                <w:rFonts w:ascii="Times New Roman" w:hAnsi="Times New Roman" w:cs="Times New Roman"/>
                <w:color w:val="B6082E"/>
              </w:rPr>
              <w:t>,</w:t>
            </w:r>
            <w:r w:rsidR="00161BA8" w:rsidRPr="000212FA">
              <w:rPr>
                <w:rFonts w:ascii="Times New Roman" w:hAnsi="Times New Roman" w:cs="Times New Roman"/>
                <w:color w:val="000000"/>
              </w:rPr>
              <w:t xml:space="preserve"> </w:t>
            </w:r>
            <w:r w:rsidRPr="000212FA">
              <w:rPr>
                <w:rFonts w:ascii="Times New Roman" w:hAnsi="Times New Roman" w:cs="Times New Roman"/>
                <w:b/>
                <w:bCs/>
              </w:rPr>
              <w:t>Funduszu na rzecz Sprawiedliwej Transformacji</w:t>
            </w:r>
            <w:r w:rsidRPr="000212FA">
              <w:rPr>
                <w:rFonts w:ascii="Times New Roman" w:hAnsi="Times New Roman" w:cs="Times New Roman"/>
              </w:rPr>
              <w:t xml:space="preserve"> </w:t>
            </w:r>
            <w:r w:rsidRPr="000212FA">
              <w:rPr>
                <w:rFonts w:ascii="Times New Roman" w:hAnsi="Times New Roman" w:cs="Times New Roman"/>
                <w:color w:val="000000"/>
              </w:rPr>
              <w:t>lub beneficjentów Europejskiego Funduszu</w:t>
            </w:r>
            <w:r w:rsidR="00F017AD" w:rsidRPr="000212FA">
              <w:rPr>
                <w:rFonts w:ascii="Times New Roman" w:hAnsi="Times New Roman" w:cs="Times New Roman"/>
                <w:color w:val="000000"/>
              </w:rPr>
              <w:t xml:space="preserve"> </w:t>
            </w:r>
            <w:r w:rsidRPr="000212FA">
              <w:rPr>
                <w:rFonts w:ascii="Times New Roman" w:hAnsi="Times New Roman" w:cs="Times New Roman"/>
                <w:color w:val="000000"/>
              </w:rPr>
              <w:t>Dostosowania do Globalizacji</w:t>
            </w:r>
            <w:r w:rsidR="00F017AD" w:rsidRPr="000212FA">
              <w:rPr>
                <w:rFonts w:ascii="Times New Roman" w:hAnsi="Times New Roman" w:cs="Times New Roman"/>
                <w:color w:val="000000"/>
              </w:rPr>
              <w:t xml:space="preserve"> </w:t>
            </w:r>
            <w:r w:rsidRPr="000212FA">
              <w:rPr>
                <w:rFonts w:ascii="Times New Roman" w:hAnsi="Times New Roman" w:cs="Times New Roman"/>
                <w:color w:val="000000"/>
              </w:rPr>
              <w:t>– w zakresie gromadzonym w systemie teleinformatycznym, o którym mowa odpowiednio w art. 69</w:t>
            </w:r>
            <w:r w:rsidR="00161BA8" w:rsidRPr="000212FA">
              <w:rPr>
                <w:rFonts w:ascii="Times New Roman" w:hAnsi="Times New Roman" w:cs="Times New Roman"/>
                <w:color w:val="000000"/>
              </w:rPr>
              <w:t xml:space="preserve"> </w:t>
            </w:r>
            <w:r w:rsidRPr="000212FA">
              <w:rPr>
                <w:rFonts w:ascii="Times New Roman" w:hAnsi="Times New Roman" w:cs="Times New Roman"/>
                <w:color w:val="000000"/>
              </w:rPr>
              <w:t>ust. 1 ustawy z dnia 11 lipca 2014 r. o zasadach realizacji programów w zakresie polityki spójności</w:t>
            </w:r>
            <w:r w:rsidR="00F017AD" w:rsidRPr="000212FA">
              <w:rPr>
                <w:rFonts w:ascii="Times New Roman" w:hAnsi="Times New Roman" w:cs="Times New Roman"/>
                <w:color w:val="000000"/>
              </w:rPr>
              <w:t xml:space="preserve"> </w:t>
            </w:r>
            <w:r w:rsidRPr="000212FA">
              <w:rPr>
                <w:rFonts w:ascii="Times New Roman" w:hAnsi="Times New Roman" w:cs="Times New Roman"/>
                <w:color w:val="000000"/>
              </w:rPr>
              <w:t>finansowanych w perspektywie finansowej 2014–2020 (Dz. U. z 2020 r. poz. 818) oraz w art. 4 ust. 2</w:t>
            </w:r>
            <w:r w:rsidR="00161BA8" w:rsidRPr="000212FA">
              <w:rPr>
                <w:rFonts w:ascii="Times New Roman" w:hAnsi="Times New Roman" w:cs="Times New Roman"/>
                <w:color w:val="000000"/>
              </w:rPr>
              <w:t xml:space="preserve"> </w:t>
            </w:r>
            <w:r w:rsidRPr="000212FA">
              <w:rPr>
                <w:rFonts w:ascii="Times New Roman" w:hAnsi="Times New Roman" w:cs="Times New Roman"/>
                <w:color w:val="000000"/>
              </w:rPr>
              <w:t>pkt 6 ustawy z dnia 28 kwietnia 2022 r. o zasadach realizacji zadań finansowanych ze środków</w:t>
            </w:r>
            <w:r w:rsidR="00161BA8" w:rsidRPr="000212FA">
              <w:rPr>
                <w:rFonts w:ascii="Times New Roman" w:hAnsi="Times New Roman" w:cs="Times New Roman"/>
                <w:color w:val="000000"/>
              </w:rPr>
              <w:t xml:space="preserve"> </w:t>
            </w:r>
            <w:r w:rsidRPr="000212FA">
              <w:rPr>
                <w:rFonts w:ascii="Times New Roman" w:hAnsi="Times New Roman" w:cs="Times New Roman"/>
                <w:color w:val="000000"/>
              </w:rPr>
              <w:t>europejskich w perspektywie finansowej 2021–2027 (Dz. U. poz. 1079), wraz z informacją o okresie</w:t>
            </w:r>
            <w:r w:rsidR="00161BA8" w:rsidRPr="000212FA">
              <w:rPr>
                <w:rFonts w:ascii="Times New Roman" w:hAnsi="Times New Roman" w:cs="Times New Roman"/>
                <w:color w:val="000000"/>
              </w:rPr>
              <w:t xml:space="preserve"> </w:t>
            </w:r>
            <w:r w:rsidRPr="000212FA">
              <w:rPr>
                <w:rFonts w:ascii="Times New Roman" w:hAnsi="Times New Roman" w:cs="Times New Roman"/>
                <w:color w:val="000000"/>
              </w:rPr>
              <w:t>zatrudnienia, kodzie tytułu zatrudnienia i wysokości składek odprowadzanych z tego tytułu.</w:t>
            </w:r>
          </w:p>
          <w:p w14:paraId="4A81CC16" w14:textId="6E1A4D44" w:rsidR="0088551D" w:rsidRPr="000212FA" w:rsidRDefault="0088551D" w:rsidP="003318FC">
            <w:pPr>
              <w:autoSpaceDE w:val="0"/>
              <w:autoSpaceDN w:val="0"/>
              <w:adjustRightInd w:val="0"/>
              <w:spacing w:after="0" w:line="240" w:lineRule="auto"/>
              <w:jc w:val="both"/>
              <w:rPr>
                <w:rFonts w:ascii="Times New Roman" w:hAnsi="Times New Roman" w:cs="Times New Roman"/>
                <w:color w:val="000000"/>
              </w:rPr>
            </w:pPr>
            <w:r w:rsidRPr="000212FA">
              <w:rPr>
                <w:rFonts w:ascii="Times New Roman" w:hAnsi="Times New Roman" w:cs="Times New Roman"/>
                <w:color w:val="000000"/>
              </w:rPr>
              <w:lastRenderedPageBreak/>
              <w:t>3b. Dane, o których mowa w ust. 3a, mogą być, za zgodą uczestnika projektu, udostępniane, w</w:t>
            </w:r>
            <w:r w:rsidR="00161BA8" w:rsidRPr="000212FA">
              <w:rPr>
                <w:rFonts w:ascii="Times New Roman" w:hAnsi="Times New Roman" w:cs="Times New Roman"/>
                <w:color w:val="000000"/>
              </w:rPr>
              <w:t xml:space="preserve"> </w:t>
            </w:r>
            <w:r w:rsidRPr="000212FA">
              <w:rPr>
                <w:rFonts w:ascii="Times New Roman" w:hAnsi="Times New Roman" w:cs="Times New Roman"/>
                <w:color w:val="000000"/>
              </w:rPr>
              <w:t>zakresie niezbędnym, beneficjentowi projektu finansowanego z udziałem środków Europejskiego</w:t>
            </w:r>
            <w:r w:rsidR="00161BA8" w:rsidRPr="000212FA">
              <w:rPr>
                <w:rFonts w:ascii="Times New Roman" w:hAnsi="Times New Roman" w:cs="Times New Roman"/>
                <w:color w:val="000000"/>
              </w:rPr>
              <w:t xml:space="preserve"> </w:t>
            </w:r>
            <w:r w:rsidRPr="000212FA">
              <w:rPr>
                <w:rFonts w:ascii="Times New Roman" w:hAnsi="Times New Roman" w:cs="Times New Roman"/>
                <w:color w:val="000000"/>
              </w:rPr>
              <w:t>Funduszu Społecznego</w:t>
            </w:r>
            <w:r w:rsidRPr="000212FA">
              <w:rPr>
                <w:rFonts w:ascii="Times New Roman" w:hAnsi="Times New Roman" w:cs="Times New Roman"/>
                <w:b/>
                <w:bCs/>
              </w:rPr>
              <w:t>, lub</w:t>
            </w:r>
            <w:r w:rsidRPr="000212FA">
              <w:rPr>
                <w:rFonts w:ascii="Times New Roman" w:hAnsi="Times New Roman" w:cs="Times New Roman"/>
              </w:rPr>
              <w:t xml:space="preserve"> </w:t>
            </w:r>
            <w:r w:rsidRPr="000212FA">
              <w:rPr>
                <w:rFonts w:ascii="Times New Roman" w:hAnsi="Times New Roman" w:cs="Times New Roman"/>
                <w:color w:val="000000"/>
              </w:rPr>
              <w:t>Europejskiego Funduszu Społecznego Plus</w:t>
            </w:r>
            <w:r w:rsidRPr="000212FA">
              <w:rPr>
                <w:rFonts w:ascii="Times New Roman" w:hAnsi="Times New Roman" w:cs="Times New Roman"/>
                <w:b/>
                <w:bCs/>
              </w:rPr>
              <w:t>, Funduszu na rzecz</w:t>
            </w:r>
            <w:r w:rsidR="00161BA8" w:rsidRPr="000212FA">
              <w:rPr>
                <w:rFonts w:ascii="Times New Roman" w:hAnsi="Times New Roman" w:cs="Times New Roman"/>
                <w:color w:val="000000"/>
              </w:rPr>
              <w:t xml:space="preserve"> </w:t>
            </w:r>
            <w:r w:rsidRPr="000212FA">
              <w:rPr>
                <w:rFonts w:ascii="Times New Roman" w:hAnsi="Times New Roman" w:cs="Times New Roman"/>
                <w:b/>
                <w:bCs/>
              </w:rPr>
              <w:t>Sprawiedliwej Transformacji</w:t>
            </w:r>
            <w:r w:rsidRPr="000212FA">
              <w:rPr>
                <w:rFonts w:ascii="Times New Roman" w:hAnsi="Times New Roman" w:cs="Times New Roman"/>
              </w:rPr>
              <w:t xml:space="preserve"> </w:t>
            </w:r>
            <w:r w:rsidRPr="000212FA">
              <w:rPr>
                <w:rFonts w:ascii="Times New Roman" w:hAnsi="Times New Roman" w:cs="Times New Roman"/>
                <w:color w:val="000000"/>
              </w:rPr>
              <w:t>oraz, za zgodą beneficjenta, udostępniane realizatorowi projektu</w:t>
            </w:r>
            <w:r w:rsidR="00161BA8" w:rsidRPr="000212FA">
              <w:rPr>
                <w:rFonts w:ascii="Times New Roman" w:hAnsi="Times New Roman" w:cs="Times New Roman"/>
                <w:color w:val="000000"/>
              </w:rPr>
              <w:t xml:space="preserve"> </w:t>
            </w:r>
            <w:r w:rsidRPr="000212FA">
              <w:rPr>
                <w:rFonts w:ascii="Times New Roman" w:hAnsi="Times New Roman" w:cs="Times New Roman"/>
                <w:color w:val="000000"/>
              </w:rPr>
              <w:t>finansowanego z udziałem środków Europejskiego Funduszu Dostosowania do Globalizacji w celu, o</w:t>
            </w:r>
            <w:r w:rsidR="00F017AD" w:rsidRPr="000212FA">
              <w:rPr>
                <w:rFonts w:ascii="Times New Roman" w:hAnsi="Times New Roman" w:cs="Times New Roman"/>
                <w:color w:val="000000"/>
              </w:rPr>
              <w:t xml:space="preserve"> </w:t>
            </w:r>
            <w:r w:rsidRPr="000212FA">
              <w:rPr>
                <w:rFonts w:ascii="Times New Roman" w:hAnsi="Times New Roman" w:cs="Times New Roman"/>
                <w:color w:val="000000"/>
              </w:rPr>
              <w:t>którym mowa w ust. 3a pkt 2.</w:t>
            </w:r>
          </w:p>
          <w:p w14:paraId="576C7520" w14:textId="321F1358" w:rsidR="0088551D" w:rsidRPr="000212FA" w:rsidRDefault="0088551D" w:rsidP="003318FC">
            <w:pPr>
              <w:autoSpaceDE w:val="0"/>
              <w:autoSpaceDN w:val="0"/>
              <w:adjustRightInd w:val="0"/>
              <w:spacing w:after="0" w:line="240" w:lineRule="auto"/>
              <w:jc w:val="both"/>
              <w:rPr>
                <w:rFonts w:ascii="Times New Roman" w:hAnsi="Times New Roman" w:cs="Times New Roman"/>
                <w:color w:val="000000"/>
              </w:rPr>
            </w:pPr>
            <w:r w:rsidRPr="000212FA">
              <w:rPr>
                <w:rFonts w:ascii="Times New Roman" w:hAnsi="Times New Roman" w:cs="Times New Roman"/>
                <w:color w:val="000000"/>
              </w:rPr>
              <w:t>3c. Dane zgromadzone na koncie ubezpieczonego, o których mowa w art. 40, i na koncie płatnika</w:t>
            </w:r>
            <w:r w:rsidR="00161BA8" w:rsidRPr="000212FA">
              <w:rPr>
                <w:rFonts w:ascii="Times New Roman" w:hAnsi="Times New Roman" w:cs="Times New Roman"/>
                <w:color w:val="000000"/>
              </w:rPr>
              <w:t xml:space="preserve"> </w:t>
            </w:r>
            <w:r w:rsidRPr="000212FA">
              <w:rPr>
                <w:rFonts w:ascii="Times New Roman" w:hAnsi="Times New Roman" w:cs="Times New Roman"/>
                <w:color w:val="000000"/>
              </w:rPr>
              <w:t>składek, o których mowa w art. 45, w tym niebędącego uczestnikiem programów finansowanych z</w:t>
            </w:r>
            <w:r w:rsidR="00161BA8" w:rsidRPr="000212FA">
              <w:rPr>
                <w:rFonts w:ascii="Times New Roman" w:hAnsi="Times New Roman" w:cs="Times New Roman"/>
                <w:color w:val="000000"/>
              </w:rPr>
              <w:t xml:space="preserve"> </w:t>
            </w:r>
            <w:r w:rsidRPr="000212FA">
              <w:rPr>
                <w:rFonts w:ascii="Times New Roman" w:hAnsi="Times New Roman" w:cs="Times New Roman"/>
                <w:color w:val="000000"/>
              </w:rPr>
              <w:t>udziałem środków Europejskiego Funduszu Społecznego, Inicjatywy Na Rzecz Zatrudnienia Ludzi</w:t>
            </w:r>
            <w:r w:rsidR="00161BA8" w:rsidRPr="000212FA">
              <w:rPr>
                <w:rFonts w:ascii="Times New Roman" w:hAnsi="Times New Roman" w:cs="Times New Roman"/>
                <w:color w:val="000000"/>
              </w:rPr>
              <w:t xml:space="preserve"> </w:t>
            </w:r>
            <w:r w:rsidRPr="000212FA">
              <w:rPr>
                <w:rFonts w:ascii="Times New Roman" w:hAnsi="Times New Roman" w:cs="Times New Roman"/>
                <w:color w:val="000000"/>
              </w:rPr>
              <w:t xml:space="preserve">Młodych lub Europejskiego Funduszu Społecznego Plus </w:t>
            </w:r>
            <w:r w:rsidRPr="000212FA">
              <w:rPr>
                <w:rFonts w:ascii="Times New Roman" w:hAnsi="Times New Roman" w:cs="Times New Roman"/>
                <w:b/>
                <w:bCs/>
              </w:rPr>
              <w:t>lub Funduszu na rzecz Sprawiedliwej</w:t>
            </w:r>
            <w:r w:rsidR="00161BA8" w:rsidRPr="000212FA">
              <w:rPr>
                <w:rFonts w:ascii="Times New Roman" w:hAnsi="Times New Roman" w:cs="Times New Roman"/>
                <w:color w:val="000000"/>
              </w:rPr>
              <w:t xml:space="preserve"> </w:t>
            </w:r>
            <w:r w:rsidRPr="000212FA">
              <w:rPr>
                <w:rFonts w:ascii="Times New Roman" w:hAnsi="Times New Roman" w:cs="Times New Roman"/>
                <w:b/>
                <w:bCs/>
              </w:rPr>
              <w:t>Transformacji</w:t>
            </w:r>
            <w:r w:rsidRPr="000212FA">
              <w:rPr>
                <w:rFonts w:ascii="Times New Roman" w:hAnsi="Times New Roman" w:cs="Times New Roman"/>
                <w:color w:val="B6082E"/>
              </w:rPr>
              <w:t xml:space="preserve"> </w:t>
            </w:r>
            <w:r w:rsidRPr="000212FA">
              <w:rPr>
                <w:rFonts w:ascii="Times New Roman" w:hAnsi="Times New Roman" w:cs="Times New Roman"/>
                <w:color w:val="000000"/>
              </w:rPr>
              <w:t>lub beneficjentem Europejskiego Funduszu Dostosowania do Globalizacji, mogą być</w:t>
            </w:r>
            <w:r w:rsidR="00F017AD" w:rsidRPr="000212FA">
              <w:rPr>
                <w:rFonts w:ascii="Times New Roman" w:hAnsi="Times New Roman" w:cs="Times New Roman"/>
                <w:color w:val="000000"/>
              </w:rPr>
              <w:t xml:space="preserve"> </w:t>
            </w:r>
            <w:r w:rsidRPr="000212FA">
              <w:rPr>
                <w:rFonts w:ascii="Times New Roman" w:hAnsi="Times New Roman" w:cs="Times New Roman"/>
                <w:color w:val="000000"/>
              </w:rPr>
              <w:t xml:space="preserve">udostępniane, w zakresie niezbędnym, ministrowi właściwemu do spraw rozwoju </w:t>
            </w:r>
            <w:r w:rsidRPr="000212FA">
              <w:rPr>
                <w:rFonts w:ascii="Times New Roman" w:hAnsi="Times New Roman" w:cs="Times New Roman"/>
                <w:color w:val="000000"/>
              </w:rPr>
              <w:lastRenderedPageBreak/>
              <w:t>regionalnego w</w:t>
            </w:r>
            <w:r w:rsidR="00161BA8" w:rsidRPr="000212FA">
              <w:rPr>
                <w:rFonts w:ascii="Times New Roman" w:hAnsi="Times New Roman" w:cs="Times New Roman"/>
                <w:color w:val="000000"/>
              </w:rPr>
              <w:t xml:space="preserve"> </w:t>
            </w:r>
            <w:r w:rsidRPr="000212FA">
              <w:rPr>
                <w:rFonts w:ascii="Times New Roman" w:hAnsi="Times New Roman" w:cs="Times New Roman"/>
                <w:color w:val="000000"/>
              </w:rPr>
              <w:t>celu realizacji obowiązków związanych z ewaluacją programu finansowanego z udziałem środków</w:t>
            </w:r>
            <w:r w:rsidR="00161BA8" w:rsidRPr="000212FA">
              <w:rPr>
                <w:rFonts w:ascii="Times New Roman" w:hAnsi="Times New Roman" w:cs="Times New Roman"/>
                <w:color w:val="000000"/>
              </w:rPr>
              <w:t xml:space="preserve"> </w:t>
            </w:r>
            <w:r w:rsidRPr="000212FA">
              <w:rPr>
                <w:rFonts w:ascii="Times New Roman" w:hAnsi="Times New Roman" w:cs="Times New Roman"/>
                <w:color w:val="000000"/>
              </w:rPr>
              <w:t>Europejskiego Funduszu Społecznego, Inicjatywy Na Rzecz Zatrudnienia Ludzi Młodych,</w:t>
            </w:r>
            <w:r w:rsidR="00161BA8" w:rsidRPr="000212FA">
              <w:rPr>
                <w:rFonts w:ascii="Times New Roman" w:hAnsi="Times New Roman" w:cs="Times New Roman"/>
                <w:color w:val="000000"/>
              </w:rPr>
              <w:t xml:space="preserve"> </w:t>
            </w:r>
            <w:r w:rsidRPr="000212FA">
              <w:rPr>
                <w:rFonts w:ascii="Times New Roman" w:hAnsi="Times New Roman" w:cs="Times New Roman"/>
                <w:color w:val="000000"/>
              </w:rPr>
              <w:t>Europejskiego Funduszu Społecznego Plus lub Europejskiego Funduszu Dostosowania do Globalizacji,</w:t>
            </w:r>
            <w:r w:rsidR="00161BA8" w:rsidRPr="000212FA">
              <w:rPr>
                <w:rFonts w:ascii="Times New Roman" w:hAnsi="Times New Roman" w:cs="Times New Roman"/>
                <w:color w:val="000000"/>
              </w:rPr>
              <w:t xml:space="preserve"> </w:t>
            </w:r>
            <w:r w:rsidRPr="000212FA">
              <w:rPr>
                <w:rFonts w:ascii="Times New Roman" w:hAnsi="Times New Roman" w:cs="Times New Roman"/>
                <w:color w:val="000000"/>
              </w:rPr>
              <w:t>wynikających z przepisów unijnych.</w:t>
            </w:r>
          </w:p>
        </w:tc>
        <w:tc>
          <w:tcPr>
            <w:tcW w:w="4253" w:type="dxa"/>
          </w:tcPr>
          <w:p w14:paraId="67E8B4C2" w14:textId="08CD972D" w:rsidR="0088551D" w:rsidRPr="000212FA" w:rsidRDefault="0078440A" w:rsidP="003318FC">
            <w:pPr>
              <w:spacing w:after="0" w:line="240" w:lineRule="auto"/>
              <w:jc w:val="both"/>
              <w:rPr>
                <w:rFonts w:ascii="Times New Roman" w:hAnsi="Times New Roman" w:cs="Times New Roman"/>
                <w:b/>
                <w:bCs/>
              </w:rPr>
            </w:pPr>
            <w:r w:rsidRPr="000212FA">
              <w:rPr>
                <w:rFonts w:ascii="Times New Roman" w:hAnsi="Times New Roman" w:cs="Times New Roman"/>
                <w:b/>
                <w:bCs/>
              </w:rPr>
              <w:lastRenderedPageBreak/>
              <w:t xml:space="preserve">Uwaga </w:t>
            </w:r>
            <w:r w:rsidR="00E85C0A" w:rsidRPr="000212FA">
              <w:rPr>
                <w:rFonts w:ascii="Times New Roman" w:hAnsi="Times New Roman" w:cs="Times New Roman"/>
                <w:b/>
                <w:bCs/>
              </w:rPr>
              <w:t>wyjaśniona</w:t>
            </w:r>
            <w:r w:rsidRPr="000212FA">
              <w:rPr>
                <w:rFonts w:ascii="Times New Roman" w:hAnsi="Times New Roman" w:cs="Times New Roman"/>
                <w:b/>
                <w:bCs/>
              </w:rPr>
              <w:t>.</w:t>
            </w:r>
          </w:p>
          <w:p w14:paraId="646D3D22" w14:textId="77777777" w:rsidR="00570FAF" w:rsidRPr="000212FA" w:rsidRDefault="00570FAF" w:rsidP="003318FC">
            <w:pPr>
              <w:spacing w:after="0" w:line="240" w:lineRule="auto"/>
              <w:jc w:val="both"/>
              <w:rPr>
                <w:rFonts w:ascii="Times New Roman" w:hAnsi="Times New Roman" w:cs="Times New Roman"/>
              </w:rPr>
            </w:pPr>
          </w:p>
          <w:p w14:paraId="76D6269C" w14:textId="732FF472" w:rsidR="00570FAF" w:rsidRPr="000212FA" w:rsidRDefault="0078440A" w:rsidP="003318FC">
            <w:pPr>
              <w:spacing w:after="0" w:line="240" w:lineRule="auto"/>
              <w:jc w:val="both"/>
              <w:rPr>
                <w:rFonts w:ascii="Times New Roman" w:hAnsi="Times New Roman" w:cs="Times New Roman"/>
              </w:rPr>
            </w:pPr>
            <w:r w:rsidRPr="000212FA">
              <w:rPr>
                <w:rFonts w:ascii="Times New Roman" w:hAnsi="Times New Roman" w:cs="Times New Roman"/>
              </w:rPr>
              <w:t xml:space="preserve">Proponowana zmiana znajduje się poza zakresem wniosku o wpis do </w:t>
            </w:r>
            <w:r w:rsidRPr="000212FA">
              <w:rPr>
                <w:rFonts w:ascii="Times New Roman" w:hAnsi="Times New Roman" w:cs="Times New Roman"/>
                <w:i/>
                <w:iCs/>
              </w:rPr>
              <w:t>„Wykazu prac legislacyjnych i programowych Rady Ministrów”</w:t>
            </w:r>
            <w:r w:rsidRPr="000212FA">
              <w:rPr>
                <w:rFonts w:ascii="Times New Roman" w:hAnsi="Times New Roman" w:cs="Times New Roman"/>
              </w:rPr>
              <w:t>. Brak możliwości jej uwzględnienia na obecnym etapie prac legislacyjnych.</w:t>
            </w:r>
          </w:p>
        </w:tc>
      </w:tr>
    </w:tbl>
    <w:p w14:paraId="3E357D50" w14:textId="77777777" w:rsidR="00A16D0E" w:rsidRPr="000212FA" w:rsidRDefault="00A16D0E" w:rsidP="003318FC">
      <w:pPr>
        <w:spacing w:after="0" w:line="240" w:lineRule="auto"/>
        <w:jc w:val="both"/>
        <w:rPr>
          <w:rFonts w:ascii="Times New Roman" w:hAnsi="Times New Roman" w:cs="Times New Roman"/>
        </w:rPr>
      </w:pPr>
    </w:p>
    <w:sectPr w:rsidR="00A16D0E" w:rsidRPr="000212FA" w:rsidSect="001F3A0F">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74C4FB" w14:textId="77777777" w:rsidR="00BE1288" w:rsidRDefault="00BE1288">
      <w:pPr>
        <w:spacing w:after="0" w:line="240" w:lineRule="auto"/>
      </w:pPr>
      <w:r>
        <w:separator/>
      </w:r>
    </w:p>
  </w:endnote>
  <w:endnote w:type="continuationSeparator" w:id="0">
    <w:p w14:paraId="5F9A206C" w14:textId="77777777" w:rsidR="00BE1288" w:rsidRDefault="00BE1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to">
    <w:panose1 w:val="020F0502020204030203"/>
    <w:charset w:val="00"/>
    <w:family w:val="swiss"/>
    <w:pitch w:val="variable"/>
    <w:sig w:usb0="A00000AF" w:usb1="5000604B"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rPr>
      <w:id w:val="451909213"/>
      <w:docPartObj>
        <w:docPartGallery w:val="Page Numbers (Bottom of Page)"/>
        <w:docPartUnique/>
      </w:docPartObj>
    </w:sdtPr>
    <w:sdtEndPr/>
    <w:sdtContent>
      <w:p w14:paraId="33B66DDF" w14:textId="73D981D7" w:rsidR="000B346A" w:rsidRPr="000B346A" w:rsidRDefault="00667394">
        <w:pPr>
          <w:pStyle w:val="Stopka"/>
          <w:jc w:val="right"/>
          <w:rPr>
            <w:rFonts w:ascii="Arial" w:hAnsi="Arial" w:cs="Arial"/>
            <w:sz w:val="18"/>
          </w:rPr>
        </w:pPr>
        <w:r w:rsidRPr="000B346A">
          <w:rPr>
            <w:rFonts w:ascii="Arial" w:hAnsi="Arial" w:cs="Arial"/>
            <w:sz w:val="18"/>
          </w:rPr>
          <w:t xml:space="preserve">Strona | </w:t>
        </w:r>
        <w:r w:rsidRPr="000B346A">
          <w:rPr>
            <w:rFonts w:ascii="Arial" w:hAnsi="Arial" w:cs="Arial"/>
            <w:sz w:val="18"/>
          </w:rPr>
          <w:fldChar w:fldCharType="begin"/>
        </w:r>
        <w:r w:rsidRPr="000B346A">
          <w:rPr>
            <w:rFonts w:ascii="Arial" w:hAnsi="Arial" w:cs="Arial"/>
            <w:sz w:val="18"/>
          </w:rPr>
          <w:instrText>PAGE   \* MERGEFORMAT</w:instrText>
        </w:r>
        <w:r w:rsidRPr="000B346A">
          <w:rPr>
            <w:rFonts w:ascii="Arial" w:hAnsi="Arial" w:cs="Arial"/>
            <w:sz w:val="18"/>
          </w:rPr>
          <w:fldChar w:fldCharType="separate"/>
        </w:r>
        <w:r w:rsidR="00CB556C">
          <w:rPr>
            <w:rFonts w:ascii="Arial" w:hAnsi="Arial" w:cs="Arial"/>
            <w:noProof/>
            <w:sz w:val="18"/>
          </w:rPr>
          <w:t>1</w:t>
        </w:r>
        <w:r w:rsidRPr="000B346A">
          <w:rPr>
            <w:rFonts w:ascii="Arial" w:hAnsi="Arial" w:cs="Arial"/>
            <w:sz w:val="18"/>
          </w:rPr>
          <w:fldChar w:fldCharType="end"/>
        </w:r>
        <w:r w:rsidRPr="000B346A">
          <w:rPr>
            <w:rFonts w:ascii="Arial" w:hAnsi="Arial" w:cs="Arial"/>
            <w:sz w:val="18"/>
          </w:rPr>
          <w:t xml:space="preserve"> </w:t>
        </w:r>
      </w:p>
    </w:sdtContent>
  </w:sdt>
  <w:p w14:paraId="78A1DF1F" w14:textId="77777777" w:rsidR="00735AA5" w:rsidRDefault="00BE128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33A3E3" w14:textId="77777777" w:rsidR="00BE1288" w:rsidRDefault="00BE1288">
      <w:pPr>
        <w:spacing w:after="0" w:line="240" w:lineRule="auto"/>
      </w:pPr>
      <w:r>
        <w:separator/>
      </w:r>
    </w:p>
  </w:footnote>
  <w:footnote w:type="continuationSeparator" w:id="0">
    <w:p w14:paraId="3AB12B2C" w14:textId="77777777" w:rsidR="00BE1288" w:rsidRDefault="00BE12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C251FD"/>
    <w:multiLevelType w:val="hybridMultilevel"/>
    <w:tmpl w:val="60A291F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71577D9"/>
    <w:multiLevelType w:val="hybridMultilevel"/>
    <w:tmpl w:val="459E1664"/>
    <w:lvl w:ilvl="0" w:tplc="04150011">
      <w:start w:val="1"/>
      <w:numFmt w:val="decimal"/>
      <w:lvlText w:val="%1)"/>
      <w:lvlJc w:val="left"/>
      <w:pPr>
        <w:ind w:left="0" w:hanging="360"/>
      </w:pPr>
      <w:rPr>
        <w:rFonts w:hint="default"/>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2" w15:restartNumberingAfterBreak="0">
    <w:nsid w:val="364954DF"/>
    <w:multiLevelType w:val="hybridMultilevel"/>
    <w:tmpl w:val="8F681E5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00B35DB"/>
    <w:multiLevelType w:val="hybridMultilevel"/>
    <w:tmpl w:val="B4F0F052"/>
    <w:lvl w:ilvl="0" w:tplc="E15E662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47B76882"/>
    <w:multiLevelType w:val="hybridMultilevel"/>
    <w:tmpl w:val="276CDDB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 w15:restartNumberingAfterBreak="0">
    <w:nsid w:val="4BED1789"/>
    <w:multiLevelType w:val="hybridMultilevel"/>
    <w:tmpl w:val="361C58C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53DD0B2E"/>
    <w:multiLevelType w:val="hybridMultilevel"/>
    <w:tmpl w:val="222087AA"/>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89C14ED"/>
    <w:multiLevelType w:val="hybridMultilevel"/>
    <w:tmpl w:val="9ADA158A"/>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5F4E6BFA"/>
    <w:multiLevelType w:val="hybridMultilevel"/>
    <w:tmpl w:val="79F065C0"/>
    <w:lvl w:ilvl="0" w:tplc="6144D22C">
      <w:start w:val="1"/>
      <w:numFmt w:val="decimal"/>
      <w:lvlText w:val="%1)"/>
      <w:lvlJc w:val="left"/>
      <w:pPr>
        <w:ind w:left="1104" w:hanging="360"/>
      </w:pPr>
      <w:rPr>
        <w:rFonts w:hint="default"/>
      </w:rPr>
    </w:lvl>
    <w:lvl w:ilvl="1" w:tplc="04150019" w:tentative="1">
      <w:start w:val="1"/>
      <w:numFmt w:val="lowerLetter"/>
      <w:lvlText w:val="%2."/>
      <w:lvlJc w:val="left"/>
      <w:pPr>
        <w:ind w:left="1824" w:hanging="360"/>
      </w:pPr>
    </w:lvl>
    <w:lvl w:ilvl="2" w:tplc="0415001B" w:tentative="1">
      <w:start w:val="1"/>
      <w:numFmt w:val="lowerRoman"/>
      <w:lvlText w:val="%3."/>
      <w:lvlJc w:val="right"/>
      <w:pPr>
        <w:ind w:left="2544" w:hanging="180"/>
      </w:pPr>
    </w:lvl>
    <w:lvl w:ilvl="3" w:tplc="0415000F" w:tentative="1">
      <w:start w:val="1"/>
      <w:numFmt w:val="decimal"/>
      <w:lvlText w:val="%4."/>
      <w:lvlJc w:val="left"/>
      <w:pPr>
        <w:ind w:left="3264" w:hanging="360"/>
      </w:pPr>
    </w:lvl>
    <w:lvl w:ilvl="4" w:tplc="04150019" w:tentative="1">
      <w:start w:val="1"/>
      <w:numFmt w:val="lowerLetter"/>
      <w:lvlText w:val="%5."/>
      <w:lvlJc w:val="left"/>
      <w:pPr>
        <w:ind w:left="3984" w:hanging="360"/>
      </w:pPr>
    </w:lvl>
    <w:lvl w:ilvl="5" w:tplc="0415001B" w:tentative="1">
      <w:start w:val="1"/>
      <w:numFmt w:val="lowerRoman"/>
      <w:lvlText w:val="%6."/>
      <w:lvlJc w:val="right"/>
      <w:pPr>
        <w:ind w:left="4704" w:hanging="180"/>
      </w:pPr>
    </w:lvl>
    <w:lvl w:ilvl="6" w:tplc="0415000F" w:tentative="1">
      <w:start w:val="1"/>
      <w:numFmt w:val="decimal"/>
      <w:lvlText w:val="%7."/>
      <w:lvlJc w:val="left"/>
      <w:pPr>
        <w:ind w:left="5424" w:hanging="360"/>
      </w:pPr>
    </w:lvl>
    <w:lvl w:ilvl="7" w:tplc="04150019" w:tentative="1">
      <w:start w:val="1"/>
      <w:numFmt w:val="lowerLetter"/>
      <w:lvlText w:val="%8."/>
      <w:lvlJc w:val="left"/>
      <w:pPr>
        <w:ind w:left="6144" w:hanging="360"/>
      </w:pPr>
    </w:lvl>
    <w:lvl w:ilvl="8" w:tplc="0415001B" w:tentative="1">
      <w:start w:val="1"/>
      <w:numFmt w:val="lowerRoman"/>
      <w:lvlText w:val="%9."/>
      <w:lvlJc w:val="right"/>
      <w:pPr>
        <w:ind w:left="6864" w:hanging="180"/>
      </w:pPr>
    </w:lvl>
  </w:abstractNum>
  <w:num w:numId="1">
    <w:abstractNumId w:val="6"/>
  </w:num>
  <w:num w:numId="2">
    <w:abstractNumId w:val="8"/>
  </w:num>
  <w:num w:numId="3">
    <w:abstractNumId w:val="3"/>
  </w:num>
  <w:num w:numId="4">
    <w:abstractNumId w:val="1"/>
  </w:num>
  <w:num w:numId="5">
    <w:abstractNumId w:val="4"/>
  </w:num>
  <w:num w:numId="6">
    <w:abstractNumId w:val="5"/>
  </w:num>
  <w:num w:numId="7">
    <w:abstractNumId w:val="2"/>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0D71"/>
    <w:rsid w:val="00000A08"/>
    <w:rsid w:val="000017A0"/>
    <w:rsid w:val="00003573"/>
    <w:rsid w:val="00011661"/>
    <w:rsid w:val="00016912"/>
    <w:rsid w:val="000212FA"/>
    <w:rsid w:val="00022431"/>
    <w:rsid w:val="00022DD0"/>
    <w:rsid w:val="000233D4"/>
    <w:rsid w:val="0003605B"/>
    <w:rsid w:val="000368CD"/>
    <w:rsid w:val="00037B70"/>
    <w:rsid w:val="00037B89"/>
    <w:rsid w:val="0004580C"/>
    <w:rsid w:val="00046706"/>
    <w:rsid w:val="00046DCD"/>
    <w:rsid w:val="000549D3"/>
    <w:rsid w:val="00057036"/>
    <w:rsid w:val="00065D86"/>
    <w:rsid w:val="00067DE6"/>
    <w:rsid w:val="00075D52"/>
    <w:rsid w:val="0007758E"/>
    <w:rsid w:val="00096855"/>
    <w:rsid w:val="0009713D"/>
    <w:rsid w:val="000A2032"/>
    <w:rsid w:val="000A49EC"/>
    <w:rsid w:val="000C6A8E"/>
    <w:rsid w:val="000C7814"/>
    <w:rsid w:val="000C7CE9"/>
    <w:rsid w:val="000D0E47"/>
    <w:rsid w:val="000E07BD"/>
    <w:rsid w:val="000E3273"/>
    <w:rsid w:val="000E5DCB"/>
    <w:rsid w:val="000F074A"/>
    <w:rsid w:val="000F2F9B"/>
    <w:rsid w:val="00100E77"/>
    <w:rsid w:val="00104A01"/>
    <w:rsid w:val="00111E78"/>
    <w:rsid w:val="00112641"/>
    <w:rsid w:val="00113AE2"/>
    <w:rsid w:val="00124619"/>
    <w:rsid w:val="0012708D"/>
    <w:rsid w:val="0013274C"/>
    <w:rsid w:val="00135599"/>
    <w:rsid w:val="001425CC"/>
    <w:rsid w:val="001443EA"/>
    <w:rsid w:val="00145471"/>
    <w:rsid w:val="00156075"/>
    <w:rsid w:val="00157CC8"/>
    <w:rsid w:val="00161BA8"/>
    <w:rsid w:val="001650B7"/>
    <w:rsid w:val="0016642C"/>
    <w:rsid w:val="001706AD"/>
    <w:rsid w:val="00171031"/>
    <w:rsid w:val="0017189A"/>
    <w:rsid w:val="0017324A"/>
    <w:rsid w:val="00174C60"/>
    <w:rsid w:val="00181252"/>
    <w:rsid w:val="00181756"/>
    <w:rsid w:val="0018660D"/>
    <w:rsid w:val="0019037A"/>
    <w:rsid w:val="001B1C54"/>
    <w:rsid w:val="001B39A3"/>
    <w:rsid w:val="001C152C"/>
    <w:rsid w:val="001E2674"/>
    <w:rsid w:val="001E3274"/>
    <w:rsid w:val="001F0882"/>
    <w:rsid w:val="001F0C64"/>
    <w:rsid w:val="0020033A"/>
    <w:rsid w:val="00200819"/>
    <w:rsid w:val="00206A13"/>
    <w:rsid w:val="00207D93"/>
    <w:rsid w:val="00211F67"/>
    <w:rsid w:val="00212593"/>
    <w:rsid w:val="00214344"/>
    <w:rsid w:val="00215579"/>
    <w:rsid w:val="0021767F"/>
    <w:rsid w:val="0022172D"/>
    <w:rsid w:val="00221DD7"/>
    <w:rsid w:val="00223846"/>
    <w:rsid w:val="00225E83"/>
    <w:rsid w:val="002265D0"/>
    <w:rsid w:val="002267FF"/>
    <w:rsid w:val="0022797F"/>
    <w:rsid w:val="00233EEB"/>
    <w:rsid w:val="00235982"/>
    <w:rsid w:val="00242B49"/>
    <w:rsid w:val="00243612"/>
    <w:rsid w:val="00245E35"/>
    <w:rsid w:val="00246DF4"/>
    <w:rsid w:val="00251985"/>
    <w:rsid w:val="00254042"/>
    <w:rsid w:val="00255F17"/>
    <w:rsid w:val="00262253"/>
    <w:rsid w:val="00267C93"/>
    <w:rsid w:val="00270037"/>
    <w:rsid w:val="002714D8"/>
    <w:rsid w:val="00273567"/>
    <w:rsid w:val="0027466C"/>
    <w:rsid w:val="002775BA"/>
    <w:rsid w:val="00286960"/>
    <w:rsid w:val="0029641E"/>
    <w:rsid w:val="0029745D"/>
    <w:rsid w:val="002A203D"/>
    <w:rsid w:val="002A2F49"/>
    <w:rsid w:val="002A7697"/>
    <w:rsid w:val="002A77AA"/>
    <w:rsid w:val="002B069B"/>
    <w:rsid w:val="002B11E6"/>
    <w:rsid w:val="002B4068"/>
    <w:rsid w:val="002C2EC2"/>
    <w:rsid w:val="002C6305"/>
    <w:rsid w:val="002C77B4"/>
    <w:rsid w:val="002F222A"/>
    <w:rsid w:val="0030679D"/>
    <w:rsid w:val="00307342"/>
    <w:rsid w:val="00317B07"/>
    <w:rsid w:val="00320F26"/>
    <w:rsid w:val="0032655D"/>
    <w:rsid w:val="003318FC"/>
    <w:rsid w:val="00331DDF"/>
    <w:rsid w:val="0033210F"/>
    <w:rsid w:val="00336E7A"/>
    <w:rsid w:val="003466C3"/>
    <w:rsid w:val="00351545"/>
    <w:rsid w:val="00354A9C"/>
    <w:rsid w:val="003557B8"/>
    <w:rsid w:val="00360B3C"/>
    <w:rsid w:val="003618C7"/>
    <w:rsid w:val="0036216E"/>
    <w:rsid w:val="00362B87"/>
    <w:rsid w:val="003646F1"/>
    <w:rsid w:val="00367A1C"/>
    <w:rsid w:val="00374533"/>
    <w:rsid w:val="0038012E"/>
    <w:rsid w:val="003902DC"/>
    <w:rsid w:val="0039755A"/>
    <w:rsid w:val="003A148F"/>
    <w:rsid w:val="003A1A50"/>
    <w:rsid w:val="003A2F1D"/>
    <w:rsid w:val="003B2684"/>
    <w:rsid w:val="003B30BA"/>
    <w:rsid w:val="003B64D2"/>
    <w:rsid w:val="003B6EF4"/>
    <w:rsid w:val="003B7791"/>
    <w:rsid w:val="003D43B8"/>
    <w:rsid w:val="003E1BEE"/>
    <w:rsid w:val="003E3632"/>
    <w:rsid w:val="003E365B"/>
    <w:rsid w:val="003E6289"/>
    <w:rsid w:val="004024E0"/>
    <w:rsid w:val="00416EFF"/>
    <w:rsid w:val="004174EF"/>
    <w:rsid w:val="004225B6"/>
    <w:rsid w:val="004303CE"/>
    <w:rsid w:val="0043493F"/>
    <w:rsid w:val="00441037"/>
    <w:rsid w:val="00441BE5"/>
    <w:rsid w:val="004422EC"/>
    <w:rsid w:val="004469B7"/>
    <w:rsid w:val="00447B3D"/>
    <w:rsid w:val="00456D45"/>
    <w:rsid w:val="004571C9"/>
    <w:rsid w:val="00470D64"/>
    <w:rsid w:val="004735CE"/>
    <w:rsid w:val="004756B1"/>
    <w:rsid w:val="00481D55"/>
    <w:rsid w:val="00484951"/>
    <w:rsid w:val="004870AD"/>
    <w:rsid w:val="004976A1"/>
    <w:rsid w:val="004A3480"/>
    <w:rsid w:val="004A4337"/>
    <w:rsid w:val="004B000C"/>
    <w:rsid w:val="004C039B"/>
    <w:rsid w:val="004C5D5D"/>
    <w:rsid w:val="004C7317"/>
    <w:rsid w:val="004D3767"/>
    <w:rsid w:val="004D450D"/>
    <w:rsid w:val="004D5ED0"/>
    <w:rsid w:val="004D6D9C"/>
    <w:rsid w:val="004E4930"/>
    <w:rsid w:val="004E7793"/>
    <w:rsid w:val="004E7C06"/>
    <w:rsid w:val="004F089E"/>
    <w:rsid w:val="00503F34"/>
    <w:rsid w:val="005110C5"/>
    <w:rsid w:val="00513228"/>
    <w:rsid w:val="00521483"/>
    <w:rsid w:val="00523BA2"/>
    <w:rsid w:val="00526DF5"/>
    <w:rsid w:val="0053261E"/>
    <w:rsid w:val="00536425"/>
    <w:rsid w:val="00545A21"/>
    <w:rsid w:val="00546C55"/>
    <w:rsid w:val="00552A72"/>
    <w:rsid w:val="00553176"/>
    <w:rsid w:val="00557AD9"/>
    <w:rsid w:val="00567B9F"/>
    <w:rsid w:val="00567E1E"/>
    <w:rsid w:val="00570FAF"/>
    <w:rsid w:val="00573E6C"/>
    <w:rsid w:val="00576DD1"/>
    <w:rsid w:val="00583C33"/>
    <w:rsid w:val="00592205"/>
    <w:rsid w:val="00592958"/>
    <w:rsid w:val="00594674"/>
    <w:rsid w:val="005978D0"/>
    <w:rsid w:val="005A0E94"/>
    <w:rsid w:val="005A1771"/>
    <w:rsid w:val="005B1890"/>
    <w:rsid w:val="005B4A9A"/>
    <w:rsid w:val="005B6725"/>
    <w:rsid w:val="005C0D77"/>
    <w:rsid w:val="005D60E4"/>
    <w:rsid w:val="005D65F2"/>
    <w:rsid w:val="005D7874"/>
    <w:rsid w:val="005E0E44"/>
    <w:rsid w:val="005F671C"/>
    <w:rsid w:val="006018EF"/>
    <w:rsid w:val="00601CE2"/>
    <w:rsid w:val="00607E99"/>
    <w:rsid w:val="0061375B"/>
    <w:rsid w:val="006148D8"/>
    <w:rsid w:val="00614B53"/>
    <w:rsid w:val="00630D56"/>
    <w:rsid w:val="00634461"/>
    <w:rsid w:val="00634F00"/>
    <w:rsid w:val="00644109"/>
    <w:rsid w:val="00650747"/>
    <w:rsid w:val="00651B13"/>
    <w:rsid w:val="006520ED"/>
    <w:rsid w:val="0065373F"/>
    <w:rsid w:val="00653947"/>
    <w:rsid w:val="00653C3E"/>
    <w:rsid w:val="006555AC"/>
    <w:rsid w:val="00663740"/>
    <w:rsid w:val="00667394"/>
    <w:rsid w:val="00667933"/>
    <w:rsid w:val="00681772"/>
    <w:rsid w:val="00682A66"/>
    <w:rsid w:val="00683410"/>
    <w:rsid w:val="006923ED"/>
    <w:rsid w:val="00696AEA"/>
    <w:rsid w:val="00697E62"/>
    <w:rsid w:val="006A0D00"/>
    <w:rsid w:val="006A2715"/>
    <w:rsid w:val="006A478F"/>
    <w:rsid w:val="006A57EF"/>
    <w:rsid w:val="006B3404"/>
    <w:rsid w:val="006B7486"/>
    <w:rsid w:val="006B7844"/>
    <w:rsid w:val="006C79DC"/>
    <w:rsid w:val="006D1F96"/>
    <w:rsid w:val="006D493B"/>
    <w:rsid w:val="006E424F"/>
    <w:rsid w:val="006E4377"/>
    <w:rsid w:val="006E7402"/>
    <w:rsid w:val="006F18C7"/>
    <w:rsid w:val="00711B27"/>
    <w:rsid w:val="00716A36"/>
    <w:rsid w:val="00721B34"/>
    <w:rsid w:val="007233FC"/>
    <w:rsid w:val="007247C5"/>
    <w:rsid w:val="007248D0"/>
    <w:rsid w:val="00731120"/>
    <w:rsid w:val="00732899"/>
    <w:rsid w:val="00737142"/>
    <w:rsid w:val="007405AB"/>
    <w:rsid w:val="0074258A"/>
    <w:rsid w:val="00742D4D"/>
    <w:rsid w:val="00747967"/>
    <w:rsid w:val="007530EE"/>
    <w:rsid w:val="007554F2"/>
    <w:rsid w:val="00760F98"/>
    <w:rsid w:val="0076248A"/>
    <w:rsid w:val="00762D93"/>
    <w:rsid w:val="00762E7C"/>
    <w:rsid w:val="007640B1"/>
    <w:rsid w:val="0076661D"/>
    <w:rsid w:val="00770C69"/>
    <w:rsid w:val="00772E43"/>
    <w:rsid w:val="00777A74"/>
    <w:rsid w:val="0078440A"/>
    <w:rsid w:val="00785AD2"/>
    <w:rsid w:val="00787105"/>
    <w:rsid w:val="00796009"/>
    <w:rsid w:val="007A0044"/>
    <w:rsid w:val="007A7638"/>
    <w:rsid w:val="007B2A7E"/>
    <w:rsid w:val="007B4D48"/>
    <w:rsid w:val="007B543E"/>
    <w:rsid w:val="007B6F6A"/>
    <w:rsid w:val="007C34A7"/>
    <w:rsid w:val="007E27D4"/>
    <w:rsid w:val="007E4EB4"/>
    <w:rsid w:val="007E647E"/>
    <w:rsid w:val="007F19B5"/>
    <w:rsid w:val="007F301D"/>
    <w:rsid w:val="007F3EB2"/>
    <w:rsid w:val="00800B86"/>
    <w:rsid w:val="0080542E"/>
    <w:rsid w:val="0080648F"/>
    <w:rsid w:val="00815012"/>
    <w:rsid w:val="00822085"/>
    <w:rsid w:val="008258D7"/>
    <w:rsid w:val="00831E1B"/>
    <w:rsid w:val="0083329B"/>
    <w:rsid w:val="0083560D"/>
    <w:rsid w:val="008434F3"/>
    <w:rsid w:val="00843CEC"/>
    <w:rsid w:val="00843D88"/>
    <w:rsid w:val="00857C0C"/>
    <w:rsid w:val="00862555"/>
    <w:rsid w:val="00867FC0"/>
    <w:rsid w:val="00871F75"/>
    <w:rsid w:val="00872FB7"/>
    <w:rsid w:val="0088551D"/>
    <w:rsid w:val="008A1660"/>
    <w:rsid w:val="008A5D38"/>
    <w:rsid w:val="008D311A"/>
    <w:rsid w:val="008E51C3"/>
    <w:rsid w:val="008F7F3B"/>
    <w:rsid w:val="00902C3C"/>
    <w:rsid w:val="00913B87"/>
    <w:rsid w:val="009171C8"/>
    <w:rsid w:val="00917D54"/>
    <w:rsid w:val="00921F50"/>
    <w:rsid w:val="00927CD0"/>
    <w:rsid w:val="009468EF"/>
    <w:rsid w:val="00951239"/>
    <w:rsid w:val="00953B6A"/>
    <w:rsid w:val="00954153"/>
    <w:rsid w:val="00961B10"/>
    <w:rsid w:val="0096497A"/>
    <w:rsid w:val="00967BE0"/>
    <w:rsid w:val="009714B1"/>
    <w:rsid w:val="00971F05"/>
    <w:rsid w:val="00973F46"/>
    <w:rsid w:val="00980462"/>
    <w:rsid w:val="00980659"/>
    <w:rsid w:val="00982BA0"/>
    <w:rsid w:val="009840E8"/>
    <w:rsid w:val="00985994"/>
    <w:rsid w:val="00994DDA"/>
    <w:rsid w:val="009955E0"/>
    <w:rsid w:val="0099611D"/>
    <w:rsid w:val="00996C43"/>
    <w:rsid w:val="009979EE"/>
    <w:rsid w:val="009B1D5F"/>
    <w:rsid w:val="009B747F"/>
    <w:rsid w:val="009D0066"/>
    <w:rsid w:val="009D5B68"/>
    <w:rsid w:val="009D6F09"/>
    <w:rsid w:val="009D7043"/>
    <w:rsid w:val="009E4439"/>
    <w:rsid w:val="00A0155C"/>
    <w:rsid w:val="00A033FA"/>
    <w:rsid w:val="00A03AB3"/>
    <w:rsid w:val="00A04E94"/>
    <w:rsid w:val="00A07004"/>
    <w:rsid w:val="00A111BF"/>
    <w:rsid w:val="00A16D0E"/>
    <w:rsid w:val="00A17606"/>
    <w:rsid w:val="00A224FB"/>
    <w:rsid w:val="00A4084D"/>
    <w:rsid w:val="00A41663"/>
    <w:rsid w:val="00A45429"/>
    <w:rsid w:val="00A55A78"/>
    <w:rsid w:val="00A60EC2"/>
    <w:rsid w:val="00A64A44"/>
    <w:rsid w:val="00A74286"/>
    <w:rsid w:val="00A74842"/>
    <w:rsid w:val="00A74A7B"/>
    <w:rsid w:val="00A74D29"/>
    <w:rsid w:val="00A76321"/>
    <w:rsid w:val="00A77F08"/>
    <w:rsid w:val="00A84DD3"/>
    <w:rsid w:val="00A8737D"/>
    <w:rsid w:val="00A87649"/>
    <w:rsid w:val="00A87F68"/>
    <w:rsid w:val="00A95FA8"/>
    <w:rsid w:val="00A96BA8"/>
    <w:rsid w:val="00AA43E9"/>
    <w:rsid w:val="00AB03F3"/>
    <w:rsid w:val="00AC01D0"/>
    <w:rsid w:val="00AC20C7"/>
    <w:rsid w:val="00AC24DB"/>
    <w:rsid w:val="00AC4DCB"/>
    <w:rsid w:val="00AE7137"/>
    <w:rsid w:val="00AE7B4A"/>
    <w:rsid w:val="00AF2563"/>
    <w:rsid w:val="00AF2DEB"/>
    <w:rsid w:val="00B01E68"/>
    <w:rsid w:val="00B1052C"/>
    <w:rsid w:val="00B11711"/>
    <w:rsid w:val="00B255B6"/>
    <w:rsid w:val="00B30766"/>
    <w:rsid w:val="00B30FF7"/>
    <w:rsid w:val="00B31403"/>
    <w:rsid w:val="00B31846"/>
    <w:rsid w:val="00B34C32"/>
    <w:rsid w:val="00B62393"/>
    <w:rsid w:val="00B62D05"/>
    <w:rsid w:val="00B63DE5"/>
    <w:rsid w:val="00B710FE"/>
    <w:rsid w:val="00B71AF4"/>
    <w:rsid w:val="00B729A7"/>
    <w:rsid w:val="00B76DA6"/>
    <w:rsid w:val="00B84057"/>
    <w:rsid w:val="00B9702C"/>
    <w:rsid w:val="00BA2183"/>
    <w:rsid w:val="00BA2243"/>
    <w:rsid w:val="00BA48DF"/>
    <w:rsid w:val="00BA6DA4"/>
    <w:rsid w:val="00BB0840"/>
    <w:rsid w:val="00BB25AF"/>
    <w:rsid w:val="00BB3135"/>
    <w:rsid w:val="00BB40DF"/>
    <w:rsid w:val="00BB7B02"/>
    <w:rsid w:val="00BC306E"/>
    <w:rsid w:val="00BD47C7"/>
    <w:rsid w:val="00BD5B79"/>
    <w:rsid w:val="00BE1288"/>
    <w:rsid w:val="00BE35EB"/>
    <w:rsid w:val="00BF1304"/>
    <w:rsid w:val="00BF5BEC"/>
    <w:rsid w:val="00C055CF"/>
    <w:rsid w:val="00C10770"/>
    <w:rsid w:val="00C25419"/>
    <w:rsid w:val="00C329D1"/>
    <w:rsid w:val="00C40B3D"/>
    <w:rsid w:val="00C417EA"/>
    <w:rsid w:val="00C4369E"/>
    <w:rsid w:val="00C44491"/>
    <w:rsid w:val="00C457EB"/>
    <w:rsid w:val="00C4640D"/>
    <w:rsid w:val="00C4649D"/>
    <w:rsid w:val="00C527A9"/>
    <w:rsid w:val="00C80E3D"/>
    <w:rsid w:val="00C92E9D"/>
    <w:rsid w:val="00C95682"/>
    <w:rsid w:val="00C96846"/>
    <w:rsid w:val="00C978A6"/>
    <w:rsid w:val="00CA2F65"/>
    <w:rsid w:val="00CB556C"/>
    <w:rsid w:val="00CB6A4F"/>
    <w:rsid w:val="00CC5F97"/>
    <w:rsid w:val="00CD00CB"/>
    <w:rsid w:val="00CD49D6"/>
    <w:rsid w:val="00CE3CD7"/>
    <w:rsid w:val="00CE5C7D"/>
    <w:rsid w:val="00CE7FBE"/>
    <w:rsid w:val="00CF275F"/>
    <w:rsid w:val="00CF496F"/>
    <w:rsid w:val="00D218F2"/>
    <w:rsid w:val="00D31702"/>
    <w:rsid w:val="00D32A7A"/>
    <w:rsid w:val="00D33605"/>
    <w:rsid w:val="00D41142"/>
    <w:rsid w:val="00D4562A"/>
    <w:rsid w:val="00D630E9"/>
    <w:rsid w:val="00D81F87"/>
    <w:rsid w:val="00D82AB9"/>
    <w:rsid w:val="00D9267F"/>
    <w:rsid w:val="00D934DC"/>
    <w:rsid w:val="00DA277F"/>
    <w:rsid w:val="00DB0215"/>
    <w:rsid w:val="00DB7BEC"/>
    <w:rsid w:val="00DC0115"/>
    <w:rsid w:val="00DC02BD"/>
    <w:rsid w:val="00DC096D"/>
    <w:rsid w:val="00DC1668"/>
    <w:rsid w:val="00DC2816"/>
    <w:rsid w:val="00DC63A5"/>
    <w:rsid w:val="00DD0DF8"/>
    <w:rsid w:val="00DD2073"/>
    <w:rsid w:val="00DD34F1"/>
    <w:rsid w:val="00DD5946"/>
    <w:rsid w:val="00DD6A01"/>
    <w:rsid w:val="00DE4DAF"/>
    <w:rsid w:val="00DE7668"/>
    <w:rsid w:val="00DF199C"/>
    <w:rsid w:val="00DF632E"/>
    <w:rsid w:val="00DF693C"/>
    <w:rsid w:val="00E02F60"/>
    <w:rsid w:val="00E06858"/>
    <w:rsid w:val="00E122B2"/>
    <w:rsid w:val="00E20731"/>
    <w:rsid w:val="00E27109"/>
    <w:rsid w:val="00E3106D"/>
    <w:rsid w:val="00E325C6"/>
    <w:rsid w:val="00E417D9"/>
    <w:rsid w:val="00E60663"/>
    <w:rsid w:val="00E61B6F"/>
    <w:rsid w:val="00E73A3E"/>
    <w:rsid w:val="00E85C0A"/>
    <w:rsid w:val="00E92CEB"/>
    <w:rsid w:val="00E950E2"/>
    <w:rsid w:val="00E955EE"/>
    <w:rsid w:val="00E978EE"/>
    <w:rsid w:val="00EA2643"/>
    <w:rsid w:val="00EA434F"/>
    <w:rsid w:val="00EA5CFF"/>
    <w:rsid w:val="00EA7BF5"/>
    <w:rsid w:val="00EB0D71"/>
    <w:rsid w:val="00EB1D35"/>
    <w:rsid w:val="00EB72F9"/>
    <w:rsid w:val="00EB7D94"/>
    <w:rsid w:val="00EC1935"/>
    <w:rsid w:val="00EC1BEF"/>
    <w:rsid w:val="00EC488E"/>
    <w:rsid w:val="00ED26EC"/>
    <w:rsid w:val="00ED29E6"/>
    <w:rsid w:val="00ED5039"/>
    <w:rsid w:val="00ED69D9"/>
    <w:rsid w:val="00EE3386"/>
    <w:rsid w:val="00F017AD"/>
    <w:rsid w:val="00F0743A"/>
    <w:rsid w:val="00F131D5"/>
    <w:rsid w:val="00F132B1"/>
    <w:rsid w:val="00F32B35"/>
    <w:rsid w:val="00F359E4"/>
    <w:rsid w:val="00F35BDE"/>
    <w:rsid w:val="00F37241"/>
    <w:rsid w:val="00F428FA"/>
    <w:rsid w:val="00F44D5F"/>
    <w:rsid w:val="00F461BA"/>
    <w:rsid w:val="00F919FA"/>
    <w:rsid w:val="00F92E89"/>
    <w:rsid w:val="00F95CAB"/>
    <w:rsid w:val="00F96FB9"/>
    <w:rsid w:val="00FB07A8"/>
    <w:rsid w:val="00FB3164"/>
    <w:rsid w:val="00FB3ECE"/>
    <w:rsid w:val="00FB7166"/>
    <w:rsid w:val="00FD2B3F"/>
    <w:rsid w:val="00FD2F91"/>
    <w:rsid w:val="00FD6927"/>
    <w:rsid w:val="00FE23A5"/>
    <w:rsid w:val="00FF38FF"/>
    <w:rsid w:val="00FF40E4"/>
    <w:rsid w:val="00FF6BBD"/>
    <w:rsid w:val="00FF6E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A06C8"/>
  <w15:chartTrackingRefBased/>
  <w15:docId w15:val="{61D344A0-444B-4A20-8E99-D8DCCE0A3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B0D71"/>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EB0D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EB0D71"/>
    <w:pPr>
      <w:ind w:left="720"/>
      <w:contextualSpacing/>
    </w:pPr>
  </w:style>
  <w:style w:type="paragraph" w:styleId="Stopka">
    <w:name w:val="footer"/>
    <w:basedOn w:val="Normalny"/>
    <w:link w:val="StopkaZnak"/>
    <w:uiPriority w:val="99"/>
    <w:unhideWhenUsed/>
    <w:rsid w:val="00EB0D7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B0D71"/>
  </w:style>
  <w:style w:type="paragraph" w:customStyle="1" w:styleId="ARTartustawynprozporzdzenia">
    <w:name w:val="ART(§) – art. ustawy (§ np. rozporządzenia)"/>
    <w:basedOn w:val="Normalny"/>
    <w:uiPriority w:val="11"/>
    <w:rsid w:val="002267FF"/>
    <w:pPr>
      <w:autoSpaceDE w:val="0"/>
      <w:autoSpaceDN w:val="0"/>
      <w:spacing w:before="120" w:after="0" w:line="360" w:lineRule="auto"/>
      <w:ind w:firstLine="510"/>
      <w:jc w:val="both"/>
    </w:pPr>
    <w:rPr>
      <w:rFonts w:ascii="Times" w:hAnsi="Times" w:cs="Times New Roman"/>
      <w:sz w:val="24"/>
      <w:szCs w:val="24"/>
      <w:lang w:eastAsia="pl-PL"/>
    </w:rPr>
  </w:style>
  <w:style w:type="paragraph" w:styleId="Tekstdymka">
    <w:name w:val="Balloon Text"/>
    <w:basedOn w:val="Normalny"/>
    <w:link w:val="TekstdymkaZnak"/>
    <w:uiPriority w:val="99"/>
    <w:semiHidden/>
    <w:unhideWhenUsed/>
    <w:rsid w:val="00F461B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461BA"/>
    <w:rPr>
      <w:rFonts w:ascii="Segoe UI" w:hAnsi="Segoe UI" w:cs="Segoe UI"/>
      <w:sz w:val="18"/>
      <w:szCs w:val="18"/>
    </w:rPr>
  </w:style>
  <w:style w:type="character" w:styleId="Odwoaniedokomentarza">
    <w:name w:val="annotation reference"/>
    <w:basedOn w:val="Domylnaczcionkaakapitu"/>
    <w:uiPriority w:val="99"/>
    <w:semiHidden/>
    <w:unhideWhenUsed/>
    <w:rsid w:val="00C527A9"/>
    <w:rPr>
      <w:sz w:val="16"/>
      <w:szCs w:val="16"/>
    </w:rPr>
  </w:style>
  <w:style w:type="paragraph" w:styleId="Tekstkomentarza">
    <w:name w:val="annotation text"/>
    <w:basedOn w:val="Normalny"/>
    <w:link w:val="TekstkomentarzaZnak"/>
    <w:uiPriority w:val="99"/>
    <w:semiHidden/>
    <w:unhideWhenUsed/>
    <w:rsid w:val="00C527A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527A9"/>
    <w:rPr>
      <w:sz w:val="20"/>
      <w:szCs w:val="20"/>
    </w:rPr>
  </w:style>
  <w:style w:type="paragraph" w:styleId="Tematkomentarza">
    <w:name w:val="annotation subject"/>
    <w:basedOn w:val="Tekstkomentarza"/>
    <w:next w:val="Tekstkomentarza"/>
    <w:link w:val="TematkomentarzaZnak"/>
    <w:uiPriority w:val="99"/>
    <w:semiHidden/>
    <w:unhideWhenUsed/>
    <w:rsid w:val="00C527A9"/>
    <w:rPr>
      <w:b/>
      <w:bCs/>
    </w:rPr>
  </w:style>
  <w:style w:type="character" w:customStyle="1" w:styleId="TematkomentarzaZnak">
    <w:name w:val="Temat komentarza Znak"/>
    <w:basedOn w:val="TekstkomentarzaZnak"/>
    <w:link w:val="Tematkomentarza"/>
    <w:uiPriority w:val="99"/>
    <w:semiHidden/>
    <w:rsid w:val="00C527A9"/>
    <w:rPr>
      <w:b/>
      <w:bCs/>
      <w:sz w:val="20"/>
      <w:szCs w:val="20"/>
    </w:rPr>
  </w:style>
  <w:style w:type="paragraph" w:styleId="Poprawka">
    <w:name w:val="Revision"/>
    <w:hidden/>
    <w:uiPriority w:val="99"/>
    <w:semiHidden/>
    <w:rsid w:val="008A5D38"/>
    <w:pPr>
      <w:spacing w:after="0" w:line="240" w:lineRule="auto"/>
    </w:pPr>
  </w:style>
  <w:style w:type="paragraph" w:styleId="Tekstprzypisukocowego">
    <w:name w:val="endnote text"/>
    <w:basedOn w:val="Normalny"/>
    <w:link w:val="TekstprzypisukocowegoZnak"/>
    <w:uiPriority w:val="99"/>
    <w:semiHidden/>
    <w:unhideWhenUsed/>
    <w:rsid w:val="00AB03F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B03F3"/>
    <w:rPr>
      <w:sz w:val="20"/>
      <w:szCs w:val="20"/>
    </w:rPr>
  </w:style>
  <w:style w:type="character" w:styleId="Odwoanieprzypisukocowego">
    <w:name w:val="endnote reference"/>
    <w:basedOn w:val="Domylnaczcionkaakapitu"/>
    <w:uiPriority w:val="99"/>
    <w:semiHidden/>
    <w:unhideWhenUsed/>
    <w:rsid w:val="00AB03F3"/>
    <w:rPr>
      <w:vertAlign w:val="superscript"/>
    </w:rPr>
  </w:style>
  <w:style w:type="character" w:styleId="Hipercze">
    <w:name w:val="Hyperlink"/>
    <w:basedOn w:val="Domylnaczcionkaakapitu"/>
    <w:uiPriority w:val="99"/>
    <w:semiHidden/>
    <w:unhideWhenUsed/>
    <w:rsid w:val="00843CE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1021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376159-EE54-43A7-8DC4-E438D0E4B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1079</TotalTime>
  <Pages>1</Pages>
  <Words>9222</Words>
  <Characters>52569</Characters>
  <Application>Microsoft Office Word</Application>
  <DocSecurity>0</DocSecurity>
  <Lines>438</Lines>
  <Paragraphs>123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Brakoniecka Emilia</dc:creator>
  <cp:keywords/>
  <dc:description/>
  <cp:lastModifiedBy>Wiśniewska Eliza</cp:lastModifiedBy>
  <cp:revision>260</cp:revision>
  <cp:lastPrinted>2024-07-11T07:53:00Z</cp:lastPrinted>
  <dcterms:created xsi:type="dcterms:W3CDTF">2024-12-20T12:06:00Z</dcterms:created>
  <dcterms:modified xsi:type="dcterms:W3CDTF">2025-02-26T14:41:00Z</dcterms:modified>
</cp:coreProperties>
</file>